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3B0EEA">
      <w:pPr>
        <w:rPr>
          <w:rFonts w:hint="eastAsia" w:ascii="宋体" w:hAnsi="宋体" w:eastAsia="宋体"/>
          <w:color w:val="auto"/>
          <w:sz w:val="40"/>
          <w:szCs w:val="48"/>
          <w:highlight w:val="none"/>
        </w:rPr>
      </w:pPr>
    </w:p>
    <w:p w14:paraId="70F8251A">
      <w:pPr>
        <w:rPr>
          <w:rFonts w:hint="eastAsia" w:ascii="宋体" w:hAnsi="宋体" w:eastAsia="宋体"/>
          <w:color w:val="auto"/>
          <w:sz w:val="40"/>
          <w:szCs w:val="48"/>
          <w:highlight w:val="none"/>
        </w:rPr>
      </w:pPr>
    </w:p>
    <w:p w14:paraId="0965A70B">
      <w:pPr>
        <w:jc w:val="center"/>
        <w:rPr>
          <w:rFonts w:hint="eastAsia" w:ascii="宋体" w:hAnsi="宋体" w:eastAsia="宋体"/>
          <w:b/>
          <w:bCs/>
          <w:color w:val="auto"/>
          <w:sz w:val="72"/>
          <w:szCs w:val="72"/>
          <w:highlight w:val="none"/>
        </w:rPr>
      </w:pPr>
      <w:r>
        <w:rPr>
          <w:rFonts w:hint="eastAsia" w:ascii="宋体" w:hAnsi="宋体" w:eastAsia="宋体"/>
          <w:b/>
          <w:bCs/>
          <w:color w:val="auto"/>
          <w:sz w:val="72"/>
          <w:szCs w:val="72"/>
          <w:highlight w:val="none"/>
        </w:rPr>
        <w:t>国内公开比选文件</w:t>
      </w:r>
    </w:p>
    <w:p w14:paraId="245FA73B">
      <w:pPr>
        <w:rPr>
          <w:rFonts w:hint="eastAsia" w:ascii="宋体" w:hAnsi="宋体" w:eastAsia="宋体"/>
          <w:color w:val="auto"/>
          <w:sz w:val="40"/>
          <w:szCs w:val="48"/>
          <w:highlight w:val="none"/>
        </w:rPr>
      </w:pPr>
    </w:p>
    <w:p w14:paraId="51747A03">
      <w:pPr>
        <w:rPr>
          <w:rFonts w:hint="eastAsia" w:ascii="宋体" w:hAnsi="宋体" w:eastAsia="宋体"/>
          <w:color w:val="auto"/>
          <w:sz w:val="40"/>
          <w:szCs w:val="48"/>
          <w:highlight w:val="none"/>
        </w:rPr>
      </w:pPr>
    </w:p>
    <w:p w14:paraId="3DA6B8C8">
      <w:pPr>
        <w:rPr>
          <w:rFonts w:hint="eastAsia" w:ascii="宋体" w:hAnsi="宋体" w:eastAsia="宋体"/>
          <w:color w:val="auto"/>
          <w:sz w:val="40"/>
          <w:szCs w:val="48"/>
          <w:highlight w:val="none"/>
        </w:rPr>
      </w:pPr>
    </w:p>
    <w:p w14:paraId="0DE9FB7F">
      <w:pPr>
        <w:keepNext w:val="0"/>
        <w:keepLines w:val="0"/>
        <w:pageBreakBefore w:val="0"/>
        <w:widowControl w:val="0"/>
        <w:kinsoku/>
        <w:wordWrap/>
        <w:overflowPunct/>
        <w:topLinePunct w:val="0"/>
        <w:autoSpaceDE/>
        <w:autoSpaceDN/>
        <w:bidi w:val="0"/>
        <w:adjustRightInd/>
        <w:snapToGrid/>
        <w:spacing w:before="313" w:beforeLines="100" w:after="625" w:afterLines="200"/>
        <w:textAlignment w:val="auto"/>
        <w:rPr>
          <w:rFonts w:hint="eastAsia" w:ascii="宋体" w:hAnsi="宋体" w:eastAsia="宋体"/>
          <w:color w:val="auto"/>
          <w:sz w:val="30"/>
          <w:szCs w:val="30"/>
          <w:highlight w:val="none"/>
          <w:lang w:eastAsia="zh-CN"/>
        </w:rPr>
      </w:pPr>
      <w:r>
        <w:rPr>
          <w:rFonts w:hint="eastAsia" w:ascii="宋体" w:hAnsi="宋体" w:eastAsia="宋体"/>
          <w:color w:val="auto"/>
          <w:sz w:val="30"/>
          <w:szCs w:val="30"/>
          <w:highlight w:val="none"/>
        </w:rPr>
        <w:t>项目名称：</w:t>
      </w:r>
      <w:r>
        <w:rPr>
          <w:rFonts w:hint="eastAsia" w:ascii="宋体" w:hAnsi="宋体"/>
          <w:color w:val="auto"/>
          <w:sz w:val="30"/>
          <w:szCs w:val="30"/>
          <w:highlight w:val="none"/>
          <w:lang w:eastAsia="zh-CN"/>
        </w:rPr>
        <w:t>富源花园、新琚花园、安丰花园、站西花园农贸市场整体招租项目</w:t>
      </w:r>
    </w:p>
    <w:p w14:paraId="3F72B98F">
      <w:pPr>
        <w:keepNext w:val="0"/>
        <w:keepLines w:val="0"/>
        <w:pageBreakBefore w:val="0"/>
        <w:widowControl w:val="0"/>
        <w:kinsoku/>
        <w:wordWrap/>
        <w:overflowPunct/>
        <w:topLinePunct w:val="0"/>
        <w:autoSpaceDE/>
        <w:autoSpaceDN/>
        <w:bidi w:val="0"/>
        <w:adjustRightInd/>
        <w:snapToGrid/>
        <w:spacing w:before="313" w:beforeLines="100" w:after="625" w:afterLines="200"/>
        <w:textAlignment w:val="auto"/>
        <w:rPr>
          <w:rFonts w:hint="eastAsia" w:ascii="宋体" w:hAnsi="宋体" w:eastAsia="宋体"/>
          <w:color w:val="auto"/>
          <w:sz w:val="30"/>
          <w:szCs w:val="30"/>
          <w:highlight w:val="none"/>
        </w:rPr>
      </w:pPr>
      <w:r>
        <w:rPr>
          <w:rFonts w:hint="eastAsia" w:ascii="宋体" w:hAnsi="宋体" w:eastAsia="宋体"/>
          <w:color w:val="auto"/>
          <w:sz w:val="30"/>
          <w:szCs w:val="30"/>
          <w:highlight w:val="none"/>
        </w:rPr>
        <w:t>项目编号：</w:t>
      </w:r>
      <w:r>
        <w:rPr>
          <w:rFonts w:hint="eastAsia" w:ascii="宋体" w:hAnsi="宋体" w:eastAsia="宋体"/>
          <w:color w:val="auto"/>
          <w:sz w:val="30"/>
          <w:szCs w:val="30"/>
          <w:highlight w:val="none"/>
          <w:lang w:eastAsia="zh-CN"/>
        </w:rPr>
        <w:t>JXSTCZFCG-G2026023</w:t>
      </w:r>
    </w:p>
    <w:p w14:paraId="554641B8">
      <w:pPr>
        <w:keepNext w:val="0"/>
        <w:keepLines w:val="0"/>
        <w:pageBreakBefore w:val="0"/>
        <w:widowControl w:val="0"/>
        <w:kinsoku/>
        <w:wordWrap/>
        <w:overflowPunct/>
        <w:topLinePunct w:val="0"/>
        <w:autoSpaceDE/>
        <w:autoSpaceDN/>
        <w:bidi w:val="0"/>
        <w:adjustRightInd/>
        <w:snapToGrid/>
        <w:spacing w:before="313" w:beforeLines="100" w:after="625" w:afterLines="200"/>
        <w:textAlignment w:val="auto"/>
        <w:rPr>
          <w:rFonts w:hint="eastAsia" w:ascii="宋体" w:hAnsi="宋体" w:eastAsia="宋体"/>
          <w:color w:val="auto"/>
          <w:sz w:val="30"/>
          <w:szCs w:val="30"/>
          <w:highlight w:val="none"/>
        </w:rPr>
      </w:pPr>
      <w:r>
        <w:rPr>
          <w:rFonts w:hint="eastAsia" w:ascii="宋体" w:hAnsi="宋体" w:eastAsia="宋体"/>
          <w:color w:val="auto"/>
          <w:sz w:val="30"/>
          <w:szCs w:val="30"/>
          <w:highlight w:val="none"/>
        </w:rPr>
        <w:t>比选人：</w:t>
      </w:r>
      <w:r>
        <w:rPr>
          <w:rFonts w:hint="eastAsia" w:ascii="宋体" w:hAnsi="宋体"/>
          <w:color w:val="auto"/>
          <w:sz w:val="30"/>
          <w:szCs w:val="30"/>
          <w:highlight w:val="none"/>
          <w:lang w:eastAsia="zh-CN"/>
        </w:rPr>
        <w:t>南昌市红谷滩城市投资集团有限公司</w:t>
      </w:r>
      <w:r>
        <w:rPr>
          <w:rFonts w:hint="eastAsia" w:ascii="宋体" w:hAnsi="宋体" w:eastAsia="宋体"/>
          <w:color w:val="auto"/>
          <w:sz w:val="30"/>
          <w:szCs w:val="30"/>
          <w:highlight w:val="none"/>
        </w:rPr>
        <w:t>（公章）</w:t>
      </w:r>
    </w:p>
    <w:p w14:paraId="1953C123">
      <w:pPr>
        <w:keepNext w:val="0"/>
        <w:keepLines w:val="0"/>
        <w:pageBreakBefore w:val="0"/>
        <w:widowControl w:val="0"/>
        <w:kinsoku/>
        <w:wordWrap/>
        <w:overflowPunct/>
        <w:topLinePunct w:val="0"/>
        <w:autoSpaceDE/>
        <w:autoSpaceDN/>
        <w:bidi w:val="0"/>
        <w:adjustRightInd/>
        <w:snapToGrid/>
        <w:spacing w:before="313" w:beforeLines="100" w:after="625" w:afterLines="200"/>
        <w:textAlignment w:val="auto"/>
        <w:rPr>
          <w:rFonts w:hint="eastAsia" w:ascii="宋体" w:hAnsi="宋体" w:eastAsia="宋体"/>
          <w:color w:val="auto"/>
          <w:sz w:val="30"/>
          <w:szCs w:val="30"/>
          <w:highlight w:val="none"/>
        </w:rPr>
      </w:pPr>
      <w:r>
        <w:rPr>
          <w:rFonts w:hint="eastAsia" w:ascii="宋体" w:hAnsi="宋体" w:eastAsia="宋体"/>
          <w:color w:val="auto"/>
          <w:sz w:val="30"/>
          <w:szCs w:val="30"/>
          <w:highlight w:val="none"/>
        </w:rPr>
        <w:t>比选代理机构：</w:t>
      </w:r>
      <w:r>
        <w:rPr>
          <w:rFonts w:hint="eastAsia" w:ascii="宋体" w:hAnsi="宋体"/>
          <w:color w:val="auto"/>
          <w:sz w:val="30"/>
          <w:szCs w:val="30"/>
          <w:highlight w:val="none"/>
          <w:lang w:eastAsia="zh-CN"/>
        </w:rPr>
        <w:t>江西省天铖招投标咨询有限公司</w:t>
      </w:r>
      <w:r>
        <w:rPr>
          <w:rFonts w:hint="eastAsia" w:ascii="宋体" w:hAnsi="宋体" w:eastAsia="宋体"/>
          <w:color w:val="auto"/>
          <w:sz w:val="30"/>
          <w:szCs w:val="30"/>
          <w:highlight w:val="none"/>
        </w:rPr>
        <w:t>（公章）</w:t>
      </w:r>
    </w:p>
    <w:p w14:paraId="73A0BA42">
      <w:pPr>
        <w:keepNext w:val="0"/>
        <w:keepLines w:val="0"/>
        <w:pageBreakBefore w:val="0"/>
        <w:widowControl w:val="0"/>
        <w:kinsoku/>
        <w:wordWrap/>
        <w:overflowPunct/>
        <w:topLinePunct w:val="0"/>
        <w:autoSpaceDE/>
        <w:autoSpaceDN/>
        <w:bidi w:val="0"/>
        <w:adjustRightInd/>
        <w:snapToGrid/>
        <w:spacing w:before="313" w:beforeLines="100" w:after="313" w:afterLines="100"/>
        <w:textAlignment w:val="auto"/>
        <w:rPr>
          <w:rFonts w:hint="eastAsia" w:ascii="宋体" w:hAnsi="宋体" w:eastAsia="宋体"/>
          <w:color w:val="auto"/>
          <w:sz w:val="30"/>
          <w:szCs w:val="30"/>
          <w:highlight w:val="none"/>
        </w:rPr>
      </w:pPr>
    </w:p>
    <w:p w14:paraId="4DF4CA34">
      <w:pPr>
        <w:keepNext w:val="0"/>
        <w:keepLines w:val="0"/>
        <w:pageBreakBefore w:val="0"/>
        <w:widowControl w:val="0"/>
        <w:kinsoku/>
        <w:wordWrap/>
        <w:overflowPunct/>
        <w:topLinePunct w:val="0"/>
        <w:autoSpaceDE/>
        <w:autoSpaceDN/>
        <w:bidi w:val="0"/>
        <w:adjustRightInd/>
        <w:snapToGrid/>
        <w:spacing w:before="313" w:beforeLines="100" w:after="313" w:afterLines="100"/>
        <w:jc w:val="center"/>
        <w:textAlignment w:val="auto"/>
        <w:rPr>
          <w:rFonts w:ascii="宋体" w:hAnsi="宋体" w:eastAsia="宋体"/>
          <w:color w:val="auto"/>
          <w:sz w:val="40"/>
          <w:szCs w:val="48"/>
          <w:highlight w:val="none"/>
        </w:rPr>
      </w:pPr>
      <w:r>
        <w:rPr>
          <w:rFonts w:hint="eastAsia" w:ascii="宋体" w:hAnsi="宋体" w:eastAsia="宋体"/>
          <w:b/>
          <w:bCs/>
          <w:color w:val="auto"/>
          <w:sz w:val="36"/>
          <w:szCs w:val="36"/>
          <w:highlight w:val="none"/>
        </w:rPr>
        <w:t>二〇二</w:t>
      </w:r>
      <w:r>
        <w:rPr>
          <w:rFonts w:hint="eastAsia" w:ascii="宋体" w:hAnsi="宋体"/>
          <w:b/>
          <w:bCs/>
          <w:color w:val="auto"/>
          <w:sz w:val="36"/>
          <w:szCs w:val="36"/>
          <w:highlight w:val="none"/>
          <w:lang w:val="en-US" w:eastAsia="zh-CN"/>
        </w:rPr>
        <w:t>六</w:t>
      </w:r>
      <w:r>
        <w:rPr>
          <w:rFonts w:hint="eastAsia" w:ascii="宋体" w:hAnsi="宋体" w:eastAsia="宋体"/>
          <w:b/>
          <w:bCs/>
          <w:color w:val="auto"/>
          <w:sz w:val="36"/>
          <w:szCs w:val="36"/>
          <w:highlight w:val="none"/>
        </w:rPr>
        <w:t>年</w:t>
      </w:r>
      <w:r>
        <w:rPr>
          <w:rFonts w:hint="eastAsia" w:ascii="宋体" w:hAnsi="宋体"/>
          <w:b/>
          <w:bCs/>
          <w:color w:val="auto"/>
          <w:sz w:val="36"/>
          <w:szCs w:val="36"/>
          <w:highlight w:val="none"/>
          <w:lang w:val="en-US" w:eastAsia="zh-CN"/>
        </w:rPr>
        <w:t>六</w:t>
      </w:r>
      <w:r>
        <w:rPr>
          <w:rFonts w:hint="eastAsia" w:ascii="宋体" w:hAnsi="宋体" w:eastAsia="宋体"/>
          <w:b/>
          <w:bCs/>
          <w:color w:val="auto"/>
          <w:sz w:val="36"/>
          <w:szCs w:val="36"/>
          <w:highlight w:val="none"/>
        </w:rPr>
        <w:t>月</w:t>
      </w:r>
      <w:r>
        <w:rPr>
          <w:rFonts w:ascii="宋体" w:hAnsi="宋体" w:eastAsia="宋体"/>
          <w:color w:val="auto"/>
          <w:sz w:val="40"/>
          <w:szCs w:val="48"/>
          <w:highlight w:val="none"/>
        </w:rPr>
        <w:br w:type="page"/>
      </w:r>
    </w:p>
    <w:p w14:paraId="537608F5">
      <w:pPr>
        <w:spacing w:before="0" w:beforeLines="0" w:after="0" w:afterLines="0" w:line="240" w:lineRule="auto"/>
        <w:ind w:left="0" w:leftChars="0" w:right="0" w:rightChars="0" w:firstLine="0" w:firstLineChars="0"/>
        <w:jc w:val="center"/>
        <w:rPr>
          <w:color w:val="auto"/>
          <w:sz w:val="40"/>
          <w:szCs w:val="48"/>
          <w:highlight w:val="none"/>
        </w:rPr>
      </w:pPr>
      <w:r>
        <w:rPr>
          <w:rFonts w:ascii="宋体" w:hAnsi="宋体" w:eastAsia="宋体"/>
          <w:color w:val="auto"/>
          <w:sz w:val="40"/>
          <w:szCs w:val="48"/>
          <w:highlight w:val="none"/>
        </w:rPr>
        <w:t>目</w:t>
      </w:r>
      <w:r>
        <w:rPr>
          <w:rFonts w:hint="eastAsia" w:ascii="宋体" w:hAnsi="宋体" w:eastAsia="宋体"/>
          <w:color w:val="auto"/>
          <w:sz w:val="40"/>
          <w:szCs w:val="48"/>
          <w:highlight w:val="none"/>
          <w:lang w:val="en-US" w:eastAsia="zh-CN"/>
        </w:rPr>
        <w:t xml:space="preserve">  </w:t>
      </w:r>
      <w:r>
        <w:rPr>
          <w:rFonts w:ascii="宋体" w:hAnsi="宋体" w:eastAsia="宋体"/>
          <w:color w:val="auto"/>
          <w:sz w:val="40"/>
          <w:szCs w:val="48"/>
          <w:highlight w:val="none"/>
        </w:rPr>
        <w:t>录</w:t>
      </w:r>
    </w:p>
    <w:p w14:paraId="1D87F903">
      <w:pPr>
        <w:pStyle w:val="10"/>
        <w:tabs>
          <w:tab w:val="right" w:leader="dot" w:pos="10204"/>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TOC \o "1-2" \h \u </w:instrText>
      </w:r>
      <w:r>
        <w:rPr>
          <w:rFonts w:hint="eastAsia" w:ascii="宋体" w:hAnsi="宋体" w:cs="宋体"/>
          <w:color w:val="auto"/>
          <w:highlight w:val="none"/>
        </w:rPr>
        <w:fldChar w:fldCharType="separate"/>
      </w: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_Toc16863 </w:instrText>
      </w:r>
      <w:r>
        <w:rPr>
          <w:rFonts w:hint="eastAsia" w:ascii="宋体" w:hAnsi="宋体" w:cs="宋体"/>
          <w:color w:val="auto"/>
          <w:highlight w:val="none"/>
        </w:rPr>
        <w:fldChar w:fldCharType="separate"/>
      </w:r>
      <w:r>
        <w:rPr>
          <w:rFonts w:hint="eastAsia"/>
          <w:color w:val="auto"/>
          <w:highlight w:val="none"/>
          <w:lang w:val="en-US" w:eastAsia="zh-CN"/>
        </w:rPr>
        <w:t>第一章 比选公告</w:t>
      </w:r>
      <w:r>
        <w:rPr>
          <w:color w:val="auto"/>
          <w:highlight w:val="none"/>
        </w:rPr>
        <w:tab/>
      </w:r>
      <w:r>
        <w:rPr>
          <w:color w:val="auto"/>
          <w:highlight w:val="none"/>
        </w:rPr>
        <w:fldChar w:fldCharType="begin"/>
      </w:r>
      <w:r>
        <w:rPr>
          <w:color w:val="auto"/>
          <w:highlight w:val="none"/>
        </w:rPr>
        <w:instrText xml:space="preserve"> PAGEREF _Toc16863 \h </w:instrText>
      </w:r>
      <w:r>
        <w:rPr>
          <w:color w:val="auto"/>
          <w:highlight w:val="none"/>
        </w:rPr>
        <w:fldChar w:fldCharType="separate"/>
      </w:r>
      <w:r>
        <w:rPr>
          <w:color w:val="auto"/>
          <w:highlight w:val="none"/>
        </w:rPr>
        <w:t>1</w:t>
      </w:r>
      <w:r>
        <w:rPr>
          <w:color w:val="auto"/>
          <w:highlight w:val="none"/>
        </w:rPr>
        <w:fldChar w:fldCharType="end"/>
      </w:r>
      <w:r>
        <w:rPr>
          <w:rFonts w:hint="eastAsia" w:ascii="宋体" w:hAnsi="宋体" w:cs="宋体"/>
          <w:color w:val="auto"/>
          <w:highlight w:val="none"/>
        </w:rPr>
        <w:fldChar w:fldCharType="end"/>
      </w:r>
    </w:p>
    <w:p w14:paraId="11E52BF6">
      <w:pPr>
        <w:pStyle w:val="11"/>
        <w:tabs>
          <w:tab w:val="right" w:leader="dot" w:pos="10204"/>
          <w:tab w:val="clear" w:pos="720"/>
          <w:tab w:val="clear" w:pos="882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_Toc4572 </w:instrText>
      </w:r>
      <w:r>
        <w:rPr>
          <w:rFonts w:hint="eastAsia" w:ascii="宋体" w:hAnsi="宋体" w:cs="宋体"/>
          <w:color w:val="auto"/>
          <w:highlight w:val="none"/>
        </w:rPr>
        <w:fldChar w:fldCharType="separate"/>
      </w:r>
      <w:r>
        <w:rPr>
          <w:rFonts w:hint="eastAsia"/>
          <w:color w:val="auto"/>
          <w:highlight w:val="none"/>
        </w:rPr>
        <w:t>一、参选邀请</w:t>
      </w:r>
      <w:r>
        <w:rPr>
          <w:color w:val="auto"/>
          <w:highlight w:val="none"/>
        </w:rPr>
        <w:tab/>
      </w:r>
      <w:r>
        <w:rPr>
          <w:color w:val="auto"/>
          <w:highlight w:val="none"/>
        </w:rPr>
        <w:fldChar w:fldCharType="begin"/>
      </w:r>
      <w:r>
        <w:rPr>
          <w:color w:val="auto"/>
          <w:highlight w:val="none"/>
        </w:rPr>
        <w:instrText xml:space="preserve"> PAGEREF _Toc4572 \h </w:instrText>
      </w:r>
      <w:r>
        <w:rPr>
          <w:color w:val="auto"/>
          <w:highlight w:val="none"/>
        </w:rPr>
        <w:fldChar w:fldCharType="separate"/>
      </w:r>
      <w:r>
        <w:rPr>
          <w:color w:val="auto"/>
          <w:highlight w:val="none"/>
        </w:rPr>
        <w:t>1</w:t>
      </w:r>
      <w:r>
        <w:rPr>
          <w:color w:val="auto"/>
          <w:highlight w:val="none"/>
        </w:rPr>
        <w:fldChar w:fldCharType="end"/>
      </w:r>
      <w:r>
        <w:rPr>
          <w:rFonts w:hint="eastAsia" w:ascii="宋体" w:hAnsi="宋体" w:cs="宋体"/>
          <w:color w:val="auto"/>
          <w:highlight w:val="none"/>
        </w:rPr>
        <w:fldChar w:fldCharType="end"/>
      </w:r>
    </w:p>
    <w:p w14:paraId="378C3C77">
      <w:pPr>
        <w:pStyle w:val="11"/>
        <w:tabs>
          <w:tab w:val="right" w:leader="dot" w:pos="10204"/>
          <w:tab w:val="clear" w:pos="720"/>
          <w:tab w:val="clear" w:pos="882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_Toc21741 </w:instrText>
      </w:r>
      <w:r>
        <w:rPr>
          <w:rFonts w:hint="eastAsia" w:ascii="宋体" w:hAnsi="宋体" w:cs="宋体"/>
          <w:color w:val="auto"/>
          <w:highlight w:val="none"/>
        </w:rPr>
        <w:fldChar w:fldCharType="separate"/>
      </w:r>
      <w:r>
        <w:rPr>
          <w:rFonts w:hint="eastAsia"/>
          <w:color w:val="auto"/>
          <w:highlight w:val="none"/>
          <w:lang w:val="en-US" w:eastAsia="zh-CN"/>
        </w:rPr>
        <w:t>二、</w:t>
      </w:r>
      <w:r>
        <w:rPr>
          <w:rFonts w:hint="eastAsia"/>
          <w:color w:val="auto"/>
          <w:highlight w:val="none"/>
        </w:rPr>
        <w:t>项目清单</w:t>
      </w:r>
      <w:r>
        <w:rPr>
          <w:color w:val="auto"/>
          <w:highlight w:val="none"/>
        </w:rPr>
        <w:tab/>
      </w:r>
      <w:r>
        <w:rPr>
          <w:color w:val="auto"/>
          <w:highlight w:val="none"/>
        </w:rPr>
        <w:fldChar w:fldCharType="begin"/>
      </w:r>
      <w:r>
        <w:rPr>
          <w:color w:val="auto"/>
          <w:highlight w:val="none"/>
        </w:rPr>
        <w:instrText xml:space="preserve"> PAGEREF _Toc21741 \h </w:instrText>
      </w:r>
      <w:r>
        <w:rPr>
          <w:color w:val="auto"/>
          <w:highlight w:val="none"/>
        </w:rPr>
        <w:fldChar w:fldCharType="separate"/>
      </w:r>
      <w:r>
        <w:rPr>
          <w:color w:val="auto"/>
          <w:highlight w:val="none"/>
        </w:rPr>
        <w:t>1</w:t>
      </w:r>
      <w:r>
        <w:rPr>
          <w:color w:val="auto"/>
          <w:highlight w:val="none"/>
        </w:rPr>
        <w:fldChar w:fldCharType="end"/>
      </w:r>
      <w:r>
        <w:rPr>
          <w:rFonts w:hint="eastAsia" w:ascii="宋体" w:hAnsi="宋体" w:cs="宋体"/>
          <w:color w:val="auto"/>
          <w:highlight w:val="none"/>
        </w:rPr>
        <w:fldChar w:fldCharType="end"/>
      </w:r>
    </w:p>
    <w:p w14:paraId="62E9CA1C">
      <w:pPr>
        <w:pStyle w:val="11"/>
        <w:tabs>
          <w:tab w:val="right" w:leader="dot" w:pos="10204"/>
          <w:tab w:val="clear" w:pos="720"/>
          <w:tab w:val="clear" w:pos="882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_Toc5456 </w:instrText>
      </w:r>
      <w:r>
        <w:rPr>
          <w:rFonts w:hint="eastAsia" w:ascii="宋体" w:hAnsi="宋体" w:cs="宋体"/>
          <w:color w:val="auto"/>
          <w:highlight w:val="none"/>
        </w:rPr>
        <w:fldChar w:fldCharType="separate"/>
      </w:r>
      <w:r>
        <w:rPr>
          <w:rFonts w:hint="eastAsia"/>
          <w:color w:val="auto"/>
          <w:highlight w:val="none"/>
          <w:lang w:val="en-US" w:eastAsia="zh-CN"/>
        </w:rPr>
        <w:t>三</w:t>
      </w:r>
      <w:r>
        <w:rPr>
          <w:rFonts w:hint="eastAsia"/>
          <w:color w:val="auto"/>
          <w:highlight w:val="none"/>
        </w:rPr>
        <w:t>、参选人的资格要求</w:t>
      </w:r>
      <w:r>
        <w:rPr>
          <w:color w:val="auto"/>
          <w:highlight w:val="none"/>
        </w:rPr>
        <w:tab/>
      </w:r>
      <w:r>
        <w:rPr>
          <w:color w:val="auto"/>
          <w:highlight w:val="none"/>
        </w:rPr>
        <w:fldChar w:fldCharType="begin"/>
      </w:r>
      <w:r>
        <w:rPr>
          <w:color w:val="auto"/>
          <w:highlight w:val="none"/>
        </w:rPr>
        <w:instrText xml:space="preserve"> PAGEREF _Toc5456 \h </w:instrText>
      </w:r>
      <w:r>
        <w:rPr>
          <w:color w:val="auto"/>
          <w:highlight w:val="none"/>
        </w:rPr>
        <w:fldChar w:fldCharType="separate"/>
      </w:r>
      <w:r>
        <w:rPr>
          <w:color w:val="auto"/>
          <w:highlight w:val="none"/>
        </w:rPr>
        <w:t>1</w:t>
      </w:r>
      <w:r>
        <w:rPr>
          <w:color w:val="auto"/>
          <w:highlight w:val="none"/>
        </w:rPr>
        <w:fldChar w:fldCharType="end"/>
      </w:r>
      <w:r>
        <w:rPr>
          <w:rFonts w:hint="eastAsia" w:ascii="宋体" w:hAnsi="宋体" w:cs="宋体"/>
          <w:color w:val="auto"/>
          <w:highlight w:val="none"/>
        </w:rPr>
        <w:fldChar w:fldCharType="end"/>
      </w:r>
    </w:p>
    <w:p w14:paraId="1B02D46C">
      <w:pPr>
        <w:pStyle w:val="11"/>
        <w:tabs>
          <w:tab w:val="right" w:leader="dot" w:pos="10204"/>
          <w:tab w:val="clear" w:pos="720"/>
          <w:tab w:val="clear" w:pos="882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_Toc3926 </w:instrText>
      </w:r>
      <w:r>
        <w:rPr>
          <w:rFonts w:hint="eastAsia" w:ascii="宋体" w:hAnsi="宋体" w:cs="宋体"/>
          <w:color w:val="auto"/>
          <w:highlight w:val="none"/>
        </w:rPr>
        <w:fldChar w:fldCharType="separate"/>
      </w:r>
      <w:r>
        <w:rPr>
          <w:rFonts w:hint="eastAsia"/>
          <w:color w:val="auto"/>
          <w:highlight w:val="none"/>
          <w:lang w:val="en-US" w:eastAsia="zh-CN"/>
        </w:rPr>
        <w:t>四</w:t>
      </w:r>
      <w:r>
        <w:rPr>
          <w:rFonts w:hint="eastAsia"/>
          <w:color w:val="auto"/>
          <w:highlight w:val="none"/>
        </w:rPr>
        <w:t>、获取比选文件方式</w:t>
      </w:r>
      <w:r>
        <w:rPr>
          <w:color w:val="auto"/>
          <w:highlight w:val="none"/>
        </w:rPr>
        <w:tab/>
      </w:r>
      <w:r>
        <w:rPr>
          <w:color w:val="auto"/>
          <w:highlight w:val="none"/>
        </w:rPr>
        <w:fldChar w:fldCharType="begin"/>
      </w:r>
      <w:r>
        <w:rPr>
          <w:color w:val="auto"/>
          <w:highlight w:val="none"/>
        </w:rPr>
        <w:instrText xml:space="preserve"> PAGEREF _Toc3926 \h </w:instrText>
      </w:r>
      <w:r>
        <w:rPr>
          <w:color w:val="auto"/>
          <w:highlight w:val="none"/>
        </w:rPr>
        <w:fldChar w:fldCharType="separate"/>
      </w:r>
      <w:r>
        <w:rPr>
          <w:color w:val="auto"/>
          <w:highlight w:val="none"/>
        </w:rPr>
        <w:t>2</w:t>
      </w:r>
      <w:r>
        <w:rPr>
          <w:color w:val="auto"/>
          <w:highlight w:val="none"/>
        </w:rPr>
        <w:fldChar w:fldCharType="end"/>
      </w:r>
      <w:r>
        <w:rPr>
          <w:rFonts w:hint="eastAsia" w:ascii="宋体" w:hAnsi="宋体" w:cs="宋体"/>
          <w:color w:val="auto"/>
          <w:highlight w:val="none"/>
        </w:rPr>
        <w:fldChar w:fldCharType="end"/>
      </w:r>
    </w:p>
    <w:p w14:paraId="7EDCA689">
      <w:pPr>
        <w:pStyle w:val="11"/>
        <w:tabs>
          <w:tab w:val="right" w:leader="dot" w:pos="10204"/>
          <w:tab w:val="clear" w:pos="720"/>
          <w:tab w:val="clear" w:pos="882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_Toc10212 </w:instrText>
      </w:r>
      <w:r>
        <w:rPr>
          <w:rFonts w:hint="eastAsia" w:ascii="宋体" w:hAnsi="宋体" w:cs="宋体"/>
          <w:color w:val="auto"/>
          <w:highlight w:val="none"/>
        </w:rPr>
        <w:fldChar w:fldCharType="separate"/>
      </w:r>
      <w:r>
        <w:rPr>
          <w:rFonts w:hint="eastAsia"/>
          <w:color w:val="auto"/>
          <w:highlight w:val="none"/>
          <w:lang w:val="en-US" w:eastAsia="zh-CN"/>
        </w:rPr>
        <w:t>五</w:t>
      </w:r>
      <w:r>
        <w:rPr>
          <w:rFonts w:hint="eastAsia"/>
          <w:color w:val="auto"/>
          <w:highlight w:val="none"/>
        </w:rPr>
        <w:t>、发布公告媒介</w:t>
      </w:r>
      <w:r>
        <w:rPr>
          <w:color w:val="auto"/>
          <w:highlight w:val="none"/>
        </w:rPr>
        <w:tab/>
      </w:r>
      <w:r>
        <w:rPr>
          <w:color w:val="auto"/>
          <w:highlight w:val="none"/>
        </w:rPr>
        <w:fldChar w:fldCharType="begin"/>
      </w:r>
      <w:r>
        <w:rPr>
          <w:color w:val="auto"/>
          <w:highlight w:val="none"/>
        </w:rPr>
        <w:instrText xml:space="preserve"> PAGEREF _Toc10212 \h </w:instrText>
      </w:r>
      <w:r>
        <w:rPr>
          <w:color w:val="auto"/>
          <w:highlight w:val="none"/>
        </w:rPr>
        <w:fldChar w:fldCharType="separate"/>
      </w:r>
      <w:r>
        <w:rPr>
          <w:color w:val="auto"/>
          <w:highlight w:val="none"/>
        </w:rPr>
        <w:t>2</w:t>
      </w:r>
      <w:r>
        <w:rPr>
          <w:color w:val="auto"/>
          <w:highlight w:val="none"/>
        </w:rPr>
        <w:fldChar w:fldCharType="end"/>
      </w:r>
      <w:r>
        <w:rPr>
          <w:rFonts w:hint="eastAsia" w:ascii="宋体" w:hAnsi="宋体" w:cs="宋体"/>
          <w:color w:val="auto"/>
          <w:highlight w:val="none"/>
        </w:rPr>
        <w:fldChar w:fldCharType="end"/>
      </w:r>
    </w:p>
    <w:p w14:paraId="65E267D0">
      <w:pPr>
        <w:pStyle w:val="11"/>
        <w:tabs>
          <w:tab w:val="right" w:leader="dot" w:pos="10204"/>
          <w:tab w:val="clear" w:pos="720"/>
          <w:tab w:val="clear" w:pos="882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_Toc25035 </w:instrText>
      </w:r>
      <w:r>
        <w:rPr>
          <w:rFonts w:hint="eastAsia" w:ascii="宋体" w:hAnsi="宋体" w:cs="宋体"/>
          <w:color w:val="auto"/>
          <w:highlight w:val="none"/>
        </w:rPr>
        <w:fldChar w:fldCharType="separate"/>
      </w:r>
      <w:r>
        <w:rPr>
          <w:rFonts w:hint="eastAsia"/>
          <w:color w:val="auto"/>
          <w:highlight w:val="none"/>
          <w:lang w:val="en-US" w:eastAsia="zh-CN"/>
        </w:rPr>
        <w:t>六</w:t>
      </w:r>
      <w:r>
        <w:rPr>
          <w:rFonts w:hint="eastAsia"/>
          <w:color w:val="auto"/>
          <w:highlight w:val="none"/>
        </w:rPr>
        <w:t>、递交参选文件截止时间及综合比选地点</w:t>
      </w:r>
      <w:r>
        <w:rPr>
          <w:color w:val="auto"/>
          <w:highlight w:val="none"/>
        </w:rPr>
        <w:tab/>
      </w:r>
      <w:r>
        <w:rPr>
          <w:color w:val="auto"/>
          <w:highlight w:val="none"/>
        </w:rPr>
        <w:fldChar w:fldCharType="begin"/>
      </w:r>
      <w:r>
        <w:rPr>
          <w:color w:val="auto"/>
          <w:highlight w:val="none"/>
        </w:rPr>
        <w:instrText xml:space="preserve"> PAGEREF _Toc25035 \h </w:instrText>
      </w:r>
      <w:r>
        <w:rPr>
          <w:color w:val="auto"/>
          <w:highlight w:val="none"/>
        </w:rPr>
        <w:fldChar w:fldCharType="separate"/>
      </w:r>
      <w:r>
        <w:rPr>
          <w:color w:val="auto"/>
          <w:highlight w:val="none"/>
        </w:rPr>
        <w:t>2</w:t>
      </w:r>
      <w:r>
        <w:rPr>
          <w:color w:val="auto"/>
          <w:highlight w:val="none"/>
        </w:rPr>
        <w:fldChar w:fldCharType="end"/>
      </w:r>
      <w:r>
        <w:rPr>
          <w:rFonts w:hint="eastAsia" w:ascii="宋体" w:hAnsi="宋体" w:cs="宋体"/>
          <w:color w:val="auto"/>
          <w:highlight w:val="none"/>
        </w:rPr>
        <w:fldChar w:fldCharType="end"/>
      </w:r>
    </w:p>
    <w:p w14:paraId="745F58B6">
      <w:pPr>
        <w:pStyle w:val="11"/>
        <w:tabs>
          <w:tab w:val="right" w:leader="dot" w:pos="10204"/>
          <w:tab w:val="clear" w:pos="720"/>
          <w:tab w:val="clear" w:pos="882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_Toc8974 </w:instrText>
      </w:r>
      <w:r>
        <w:rPr>
          <w:rFonts w:hint="eastAsia" w:ascii="宋体" w:hAnsi="宋体" w:cs="宋体"/>
          <w:color w:val="auto"/>
          <w:highlight w:val="none"/>
        </w:rPr>
        <w:fldChar w:fldCharType="separate"/>
      </w:r>
      <w:r>
        <w:rPr>
          <w:rFonts w:hint="eastAsia"/>
          <w:color w:val="auto"/>
          <w:highlight w:val="none"/>
          <w:lang w:val="en-US" w:eastAsia="zh-CN"/>
        </w:rPr>
        <w:t>七</w:t>
      </w:r>
      <w:r>
        <w:rPr>
          <w:rFonts w:hint="eastAsia"/>
          <w:color w:val="auto"/>
          <w:highlight w:val="none"/>
        </w:rPr>
        <w:t>、参选保证金缴纳信息</w:t>
      </w:r>
      <w:r>
        <w:rPr>
          <w:color w:val="auto"/>
          <w:highlight w:val="none"/>
        </w:rPr>
        <w:tab/>
      </w:r>
      <w:r>
        <w:rPr>
          <w:color w:val="auto"/>
          <w:highlight w:val="none"/>
        </w:rPr>
        <w:fldChar w:fldCharType="begin"/>
      </w:r>
      <w:r>
        <w:rPr>
          <w:color w:val="auto"/>
          <w:highlight w:val="none"/>
        </w:rPr>
        <w:instrText xml:space="preserve"> PAGEREF _Toc8974 \h </w:instrText>
      </w:r>
      <w:r>
        <w:rPr>
          <w:color w:val="auto"/>
          <w:highlight w:val="none"/>
        </w:rPr>
        <w:fldChar w:fldCharType="separate"/>
      </w:r>
      <w:r>
        <w:rPr>
          <w:color w:val="auto"/>
          <w:highlight w:val="none"/>
        </w:rPr>
        <w:t>2</w:t>
      </w:r>
      <w:r>
        <w:rPr>
          <w:color w:val="auto"/>
          <w:highlight w:val="none"/>
        </w:rPr>
        <w:fldChar w:fldCharType="end"/>
      </w:r>
      <w:r>
        <w:rPr>
          <w:rFonts w:hint="eastAsia" w:ascii="宋体" w:hAnsi="宋体" w:cs="宋体"/>
          <w:color w:val="auto"/>
          <w:highlight w:val="none"/>
        </w:rPr>
        <w:fldChar w:fldCharType="end"/>
      </w:r>
    </w:p>
    <w:p w14:paraId="3F53936D">
      <w:pPr>
        <w:pStyle w:val="11"/>
        <w:tabs>
          <w:tab w:val="right" w:leader="dot" w:pos="10204"/>
          <w:tab w:val="clear" w:pos="720"/>
          <w:tab w:val="clear" w:pos="882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_Toc25933 </w:instrText>
      </w:r>
      <w:r>
        <w:rPr>
          <w:rFonts w:hint="eastAsia" w:ascii="宋体" w:hAnsi="宋体" w:cs="宋体"/>
          <w:color w:val="auto"/>
          <w:highlight w:val="none"/>
        </w:rPr>
        <w:fldChar w:fldCharType="separate"/>
      </w:r>
      <w:r>
        <w:rPr>
          <w:rFonts w:hint="eastAsia"/>
          <w:color w:val="auto"/>
          <w:highlight w:val="none"/>
        </w:rPr>
        <w:t>八、 本项目服务费</w:t>
      </w:r>
      <w:r>
        <w:rPr>
          <w:color w:val="auto"/>
          <w:highlight w:val="none"/>
        </w:rPr>
        <w:tab/>
      </w:r>
      <w:r>
        <w:rPr>
          <w:color w:val="auto"/>
          <w:highlight w:val="none"/>
        </w:rPr>
        <w:fldChar w:fldCharType="begin"/>
      </w:r>
      <w:r>
        <w:rPr>
          <w:color w:val="auto"/>
          <w:highlight w:val="none"/>
        </w:rPr>
        <w:instrText xml:space="preserve"> PAGEREF _Toc25933 \h </w:instrText>
      </w:r>
      <w:r>
        <w:rPr>
          <w:color w:val="auto"/>
          <w:highlight w:val="none"/>
        </w:rPr>
        <w:fldChar w:fldCharType="separate"/>
      </w:r>
      <w:r>
        <w:rPr>
          <w:color w:val="auto"/>
          <w:highlight w:val="none"/>
        </w:rPr>
        <w:t>2</w:t>
      </w:r>
      <w:r>
        <w:rPr>
          <w:color w:val="auto"/>
          <w:highlight w:val="none"/>
        </w:rPr>
        <w:fldChar w:fldCharType="end"/>
      </w:r>
      <w:r>
        <w:rPr>
          <w:rFonts w:hint="eastAsia" w:ascii="宋体" w:hAnsi="宋体" w:cs="宋体"/>
          <w:color w:val="auto"/>
          <w:highlight w:val="none"/>
        </w:rPr>
        <w:fldChar w:fldCharType="end"/>
      </w:r>
    </w:p>
    <w:p w14:paraId="514C77F8">
      <w:pPr>
        <w:pStyle w:val="11"/>
        <w:tabs>
          <w:tab w:val="right" w:leader="dot" w:pos="10204"/>
          <w:tab w:val="clear" w:pos="720"/>
          <w:tab w:val="clear" w:pos="882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_Toc21415 </w:instrText>
      </w:r>
      <w:r>
        <w:rPr>
          <w:rFonts w:hint="eastAsia" w:ascii="宋体" w:hAnsi="宋体" w:cs="宋体"/>
          <w:color w:val="auto"/>
          <w:highlight w:val="none"/>
        </w:rPr>
        <w:fldChar w:fldCharType="separate"/>
      </w:r>
      <w:r>
        <w:rPr>
          <w:rFonts w:hint="eastAsia"/>
          <w:color w:val="auto"/>
          <w:highlight w:val="none"/>
          <w:lang w:val="en-US" w:eastAsia="zh-CN"/>
        </w:rPr>
        <w:t>九</w:t>
      </w:r>
      <w:r>
        <w:rPr>
          <w:rFonts w:hint="eastAsia"/>
          <w:color w:val="auto"/>
          <w:highlight w:val="none"/>
        </w:rPr>
        <w:t>、评审方法</w:t>
      </w:r>
      <w:r>
        <w:rPr>
          <w:color w:val="auto"/>
          <w:highlight w:val="none"/>
        </w:rPr>
        <w:tab/>
      </w:r>
      <w:r>
        <w:rPr>
          <w:color w:val="auto"/>
          <w:highlight w:val="none"/>
        </w:rPr>
        <w:fldChar w:fldCharType="begin"/>
      </w:r>
      <w:r>
        <w:rPr>
          <w:color w:val="auto"/>
          <w:highlight w:val="none"/>
        </w:rPr>
        <w:instrText xml:space="preserve"> PAGEREF _Toc21415 \h </w:instrText>
      </w:r>
      <w:r>
        <w:rPr>
          <w:color w:val="auto"/>
          <w:highlight w:val="none"/>
        </w:rPr>
        <w:fldChar w:fldCharType="separate"/>
      </w:r>
      <w:r>
        <w:rPr>
          <w:color w:val="auto"/>
          <w:highlight w:val="none"/>
        </w:rPr>
        <w:t>2</w:t>
      </w:r>
      <w:r>
        <w:rPr>
          <w:color w:val="auto"/>
          <w:highlight w:val="none"/>
        </w:rPr>
        <w:fldChar w:fldCharType="end"/>
      </w:r>
      <w:r>
        <w:rPr>
          <w:rFonts w:hint="eastAsia" w:ascii="宋体" w:hAnsi="宋体" w:cs="宋体"/>
          <w:color w:val="auto"/>
          <w:highlight w:val="none"/>
        </w:rPr>
        <w:fldChar w:fldCharType="end"/>
      </w:r>
    </w:p>
    <w:p w14:paraId="1AF568A8">
      <w:pPr>
        <w:pStyle w:val="11"/>
        <w:tabs>
          <w:tab w:val="right" w:leader="dot" w:pos="10204"/>
          <w:tab w:val="clear" w:pos="720"/>
          <w:tab w:val="clear" w:pos="882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_Toc21442 </w:instrText>
      </w:r>
      <w:r>
        <w:rPr>
          <w:rFonts w:hint="eastAsia" w:ascii="宋体" w:hAnsi="宋体" w:cs="宋体"/>
          <w:color w:val="auto"/>
          <w:highlight w:val="none"/>
        </w:rPr>
        <w:fldChar w:fldCharType="separate"/>
      </w:r>
      <w:r>
        <w:rPr>
          <w:rFonts w:hint="eastAsia"/>
          <w:color w:val="auto"/>
          <w:highlight w:val="none"/>
          <w:lang w:val="en-US" w:eastAsia="zh-CN"/>
        </w:rPr>
        <w:t>十、</w:t>
      </w:r>
      <w:r>
        <w:rPr>
          <w:rFonts w:hint="eastAsia"/>
          <w:color w:val="auto"/>
          <w:highlight w:val="none"/>
        </w:rPr>
        <w:t>签订合同</w:t>
      </w:r>
      <w:r>
        <w:rPr>
          <w:color w:val="auto"/>
          <w:highlight w:val="none"/>
        </w:rPr>
        <w:tab/>
      </w:r>
      <w:r>
        <w:rPr>
          <w:color w:val="auto"/>
          <w:highlight w:val="none"/>
        </w:rPr>
        <w:fldChar w:fldCharType="begin"/>
      </w:r>
      <w:r>
        <w:rPr>
          <w:color w:val="auto"/>
          <w:highlight w:val="none"/>
        </w:rPr>
        <w:instrText xml:space="preserve"> PAGEREF _Toc21442 \h </w:instrText>
      </w:r>
      <w:r>
        <w:rPr>
          <w:color w:val="auto"/>
          <w:highlight w:val="none"/>
        </w:rPr>
        <w:fldChar w:fldCharType="separate"/>
      </w:r>
      <w:r>
        <w:rPr>
          <w:color w:val="auto"/>
          <w:highlight w:val="none"/>
        </w:rPr>
        <w:t>2</w:t>
      </w:r>
      <w:r>
        <w:rPr>
          <w:color w:val="auto"/>
          <w:highlight w:val="none"/>
        </w:rPr>
        <w:fldChar w:fldCharType="end"/>
      </w:r>
      <w:r>
        <w:rPr>
          <w:rFonts w:hint="eastAsia" w:ascii="宋体" w:hAnsi="宋体" w:cs="宋体"/>
          <w:color w:val="auto"/>
          <w:highlight w:val="none"/>
        </w:rPr>
        <w:fldChar w:fldCharType="end"/>
      </w:r>
    </w:p>
    <w:p w14:paraId="1F5FC39F">
      <w:pPr>
        <w:pStyle w:val="11"/>
        <w:tabs>
          <w:tab w:val="right" w:leader="dot" w:pos="10204"/>
          <w:tab w:val="clear" w:pos="720"/>
          <w:tab w:val="clear" w:pos="882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_Toc29353 </w:instrText>
      </w:r>
      <w:r>
        <w:rPr>
          <w:rFonts w:hint="eastAsia" w:ascii="宋体" w:hAnsi="宋体" w:cs="宋体"/>
          <w:color w:val="auto"/>
          <w:highlight w:val="none"/>
        </w:rPr>
        <w:fldChar w:fldCharType="separate"/>
      </w:r>
      <w:r>
        <w:rPr>
          <w:rFonts w:hint="eastAsia"/>
          <w:color w:val="auto"/>
          <w:highlight w:val="none"/>
        </w:rPr>
        <w:t>十</w:t>
      </w:r>
      <w:r>
        <w:rPr>
          <w:rFonts w:hint="eastAsia"/>
          <w:color w:val="auto"/>
          <w:highlight w:val="none"/>
          <w:lang w:val="en-US" w:eastAsia="zh-CN"/>
        </w:rPr>
        <w:t>一</w:t>
      </w:r>
      <w:r>
        <w:rPr>
          <w:rFonts w:hint="eastAsia"/>
          <w:color w:val="auto"/>
          <w:highlight w:val="none"/>
        </w:rPr>
        <w:t>、联系方式</w:t>
      </w:r>
      <w:r>
        <w:rPr>
          <w:color w:val="auto"/>
          <w:highlight w:val="none"/>
        </w:rPr>
        <w:tab/>
      </w:r>
      <w:r>
        <w:rPr>
          <w:color w:val="auto"/>
          <w:highlight w:val="none"/>
        </w:rPr>
        <w:fldChar w:fldCharType="begin"/>
      </w:r>
      <w:r>
        <w:rPr>
          <w:color w:val="auto"/>
          <w:highlight w:val="none"/>
        </w:rPr>
        <w:instrText xml:space="preserve"> PAGEREF _Toc29353 \h </w:instrText>
      </w:r>
      <w:r>
        <w:rPr>
          <w:color w:val="auto"/>
          <w:highlight w:val="none"/>
        </w:rPr>
        <w:fldChar w:fldCharType="separate"/>
      </w:r>
      <w:r>
        <w:rPr>
          <w:color w:val="auto"/>
          <w:highlight w:val="none"/>
        </w:rPr>
        <w:t>3</w:t>
      </w:r>
      <w:r>
        <w:rPr>
          <w:color w:val="auto"/>
          <w:highlight w:val="none"/>
        </w:rPr>
        <w:fldChar w:fldCharType="end"/>
      </w:r>
      <w:r>
        <w:rPr>
          <w:rFonts w:hint="eastAsia" w:ascii="宋体" w:hAnsi="宋体" w:cs="宋体"/>
          <w:color w:val="auto"/>
          <w:highlight w:val="none"/>
        </w:rPr>
        <w:fldChar w:fldCharType="end"/>
      </w:r>
    </w:p>
    <w:p w14:paraId="3FE9D78F">
      <w:pPr>
        <w:pStyle w:val="10"/>
        <w:tabs>
          <w:tab w:val="right" w:leader="dot" w:pos="10204"/>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_Toc30271 </w:instrText>
      </w:r>
      <w:r>
        <w:rPr>
          <w:rFonts w:hint="eastAsia" w:ascii="宋体" w:hAnsi="宋体" w:cs="宋体"/>
          <w:color w:val="auto"/>
          <w:highlight w:val="none"/>
        </w:rPr>
        <w:fldChar w:fldCharType="separate"/>
      </w:r>
      <w:r>
        <w:rPr>
          <w:rFonts w:hint="eastAsia"/>
          <w:color w:val="auto"/>
          <w:highlight w:val="none"/>
          <w:lang w:val="en-US" w:eastAsia="zh-CN"/>
        </w:rPr>
        <w:t>第二章  参选人须知</w:t>
      </w:r>
      <w:r>
        <w:rPr>
          <w:color w:val="auto"/>
          <w:highlight w:val="none"/>
        </w:rPr>
        <w:tab/>
      </w:r>
      <w:r>
        <w:rPr>
          <w:color w:val="auto"/>
          <w:highlight w:val="none"/>
        </w:rPr>
        <w:fldChar w:fldCharType="begin"/>
      </w:r>
      <w:r>
        <w:rPr>
          <w:color w:val="auto"/>
          <w:highlight w:val="none"/>
        </w:rPr>
        <w:instrText xml:space="preserve"> PAGEREF _Toc30271 \h </w:instrText>
      </w:r>
      <w:r>
        <w:rPr>
          <w:color w:val="auto"/>
          <w:highlight w:val="none"/>
        </w:rPr>
        <w:fldChar w:fldCharType="separate"/>
      </w:r>
      <w:r>
        <w:rPr>
          <w:color w:val="auto"/>
          <w:highlight w:val="none"/>
        </w:rPr>
        <w:t>4</w:t>
      </w:r>
      <w:r>
        <w:rPr>
          <w:color w:val="auto"/>
          <w:highlight w:val="none"/>
        </w:rPr>
        <w:fldChar w:fldCharType="end"/>
      </w:r>
      <w:r>
        <w:rPr>
          <w:rFonts w:hint="eastAsia" w:ascii="宋体" w:hAnsi="宋体" w:cs="宋体"/>
          <w:color w:val="auto"/>
          <w:highlight w:val="none"/>
        </w:rPr>
        <w:fldChar w:fldCharType="end"/>
      </w:r>
    </w:p>
    <w:p w14:paraId="5971A62B">
      <w:pPr>
        <w:pStyle w:val="11"/>
        <w:tabs>
          <w:tab w:val="right" w:leader="dot" w:pos="10204"/>
          <w:tab w:val="clear" w:pos="720"/>
          <w:tab w:val="clear" w:pos="882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_Toc20681 </w:instrText>
      </w:r>
      <w:r>
        <w:rPr>
          <w:rFonts w:hint="eastAsia" w:ascii="宋体" w:hAnsi="宋体" w:cs="宋体"/>
          <w:color w:val="auto"/>
          <w:highlight w:val="none"/>
        </w:rPr>
        <w:fldChar w:fldCharType="separate"/>
      </w:r>
      <w:r>
        <w:rPr>
          <w:rFonts w:hint="eastAsia"/>
          <w:color w:val="auto"/>
          <w:highlight w:val="none"/>
          <w:lang w:val="en-US" w:eastAsia="zh-CN"/>
        </w:rPr>
        <w:t>一</w:t>
      </w:r>
      <w:r>
        <w:rPr>
          <w:rFonts w:hint="eastAsia"/>
          <w:color w:val="auto"/>
          <w:highlight w:val="none"/>
        </w:rPr>
        <w:t>、参选人须知前附表</w:t>
      </w:r>
      <w:r>
        <w:rPr>
          <w:color w:val="auto"/>
          <w:highlight w:val="none"/>
        </w:rPr>
        <w:tab/>
      </w:r>
      <w:r>
        <w:rPr>
          <w:color w:val="auto"/>
          <w:highlight w:val="none"/>
        </w:rPr>
        <w:fldChar w:fldCharType="begin"/>
      </w:r>
      <w:r>
        <w:rPr>
          <w:color w:val="auto"/>
          <w:highlight w:val="none"/>
        </w:rPr>
        <w:instrText xml:space="preserve"> PAGEREF _Toc20681 \h </w:instrText>
      </w:r>
      <w:r>
        <w:rPr>
          <w:color w:val="auto"/>
          <w:highlight w:val="none"/>
        </w:rPr>
        <w:fldChar w:fldCharType="separate"/>
      </w:r>
      <w:r>
        <w:rPr>
          <w:color w:val="auto"/>
          <w:highlight w:val="none"/>
        </w:rPr>
        <w:t>4</w:t>
      </w:r>
      <w:r>
        <w:rPr>
          <w:color w:val="auto"/>
          <w:highlight w:val="none"/>
        </w:rPr>
        <w:fldChar w:fldCharType="end"/>
      </w:r>
      <w:r>
        <w:rPr>
          <w:rFonts w:hint="eastAsia" w:ascii="宋体" w:hAnsi="宋体" w:cs="宋体"/>
          <w:color w:val="auto"/>
          <w:highlight w:val="none"/>
        </w:rPr>
        <w:fldChar w:fldCharType="end"/>
      </w:r>
    </w:p>
    <w:p w14:paraId="4FF4A145">
      <w:pPr>
        <w:pStyle w:val="10"/>
        <w:tabs>
          <w:tab w:val="right" w:leader="dot" w:pos="10204"/>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_Toc16054 </w:instrText>
      </w:r>
      <w:r>
        <w:rPr>
          <w:rFonts w:hint="eastAsia" w:ascii="宋体" w:hAnsi="宋体" w:cs="宋体"/>
          <w:color w:val="auto"/>
          <w:highlight w:val="none"/>
        </w:rPr>
        <w:fldChar w:fldCharType="separate"/>
      </w:r>
      <w:r>
        <w:rPr>
          <w:rFonts w:hint="eastAsia"/>
          <w:color w:val="auto"/>
          <w:highlight w:val="none"/>
          <w:lang w:val="en-US" w:eastAsia="zh-CN"/>
        </w:rPr>
        <w:t>第三章</w:t>
      </w:r>
      <w:r>
        <w:rPr>
          <w:rFonts w:hint="eastAsia"/>
          <w:color w:val="auto"/>
          <w:highlight w:val="none"/>
        </w:rPr>
        <w:t>、参选人须知</w:t>
      </w:r>
      <w:r>
        <w:rPr>
          <w:rFonts w:hint="eastAsia"/>
          <w:color w:val="auto"/>
          <w:highlight w:val="none"/>
          <w:lang w:val="en-US" w:eastAsia="zh-CN"/>
        </w:rPr>
        <w:t>正文</w:t>
      </w:r>
      <w:r>
        <w:rPr>
          <w:color w:val="auto"/>
          <w:highlight w:val="none"/>
        </w:rPr>
        <w:tab/>
      </w:r>
      <w:r>
        <w:rPr>
          <w:color w:val="auto"/>
          <w:highlight w:val="none"/>
        </w:rPr>
        <w:fldChar w:fldCharType="begin"/>
      </w:r>
      <w:r>
        <w:rPr>
          <w:color w:val="auto"/>
          <w:highlight w:val="none"/>
        </w:rPr>
        <w:instrText xml:space="preserve"> PAGEREF _Toc16054 \h </w:instrText>
      </w:r>
      <w:r>
        <w:rPr>
          <w:color w:val="auto"/>
          <w:highlight w:val="none"/>
        </w:rPr>
        <w:fldChar w:fldCharType="separate"/>
      </w:r>
      <w:r>
        <w:rPr>
          <w:color w:val="auto"/>
          <w:highlight w:val="none"/>
        </w:rPr>
        <w:t>6</w:t>
      </w:r>
      <w:r>
        <w:rPr>
          <w:color w:val="auto"/>
          <w:highlight w:val="none"/>
        </w:rPr>
        <w:fldChar w:fldCharType="end"/>
      </w:r>
      <w:r>
        <w:rPr>
          <w:rFonts w:hint="eastAsia" w:ascii="宋体" w:hAnsi="宋体" w:cs="宋体"/>
          <w:color w:val="auto"/>
          <w:highlight w:val="none"/>
        </w:rPr>
        <w:fldChar w:fldCharType="end"/>
      </w:r>
    </w:p>
    <w:p w14:paraId="38E9204D">
      <w:pPr>
        <w:pStyle w:val="10"/>
        <w:tabs>
          <w:tab w:val="right" w:leader="dot" w:pos="10204"/>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_Toc13312 </w:instrText>
      </w:r>
      <w:r>
        <w:rPr>
          <w:rFonts w:hint="eastAsia" w:ascii="宋体" w:hAnsi="宋体" w:cs="宋体"/>
          <w:color w:val="auto"/>
          <w:highlight w:val="none"/>
        </w:rPr>
        <w:fldChar w:fldCharType="separate"/>
      </w:r>
      <w:r>
        <w:rPr>
          <w:rFonts w:hint="eastAsia"/>
          <w:color w:val="auto"/>
          <w:highlight w:val="none"/>
          <w:lang w:val="en-US" w:eastAsia="zh-CN"/>
        </w:rPr>
        <w:t>第四章</w:t>
      </w:r>
      <w:r>
        <w:rPr>
          <w:rFonts w:hint="eastAsia"/>
          <w:color w:val="auto"/>
          <w:highlight w:val="none"/>
        </w:rPr>
        <w:t>、项目需求</w:t>
      </w:r>
      <w:r>
        <w:rPr>
          <w:color w:val="auto"/>
          <w:highlight w:val="none"/>
        </w:rPr>
        <w:tab/>
      </w:r>
      <w:r>
        <w:rPr>
          <w:color w:val="auto"/>
          <w:highlight w:val="none"/>
        </w:rPr>
        <w:fldChar w:fldCharType="begin"/>
      </w:r>
      <w:r>
        <w:rPr>
          <w:color w:val="auto"/>
          <w:highlight w:val="none"/>
        </w:rPr>
        <w:instrText xml:space="preserve"> PAGEREF _Toc13312 \h </w:instrText>
      </w:r>
      <w:r>
        <w:rPr>
          <w:color w:val="auto"/>
          <w:highlight w:val="none"/>
        </w:rPr>
        <w:fldChar w:fldCharType="separate"/>
      </w:r>
      <w:r>
        <w:rPr>
          <w:color w:val="auto"/>
          <w:highlight w:val="none"/>
        </w:rPr>
        <w:t>14</w:t>
      </w:r>
      <w:r>
        <w:rPr>
          <w:color w:val="auto"/>
          <w:highlight w:val="none"/>
        </w:rPr>
        <w:fldChar w:fldCharType="end"/>
      </w:r>
      <w:r>
        <w:rPr>
          <w:rFonts w:hint="eastAsia" w:ascii="宋体" w:hAnsi="宋体" w:cs="宋体"/>
          <w:color w:val="auto"/>
          <w:highlight w:val="none"/>
        </w:rPr>
        <w:fldChar w:fldCharType="end"/>
      </w:r>
    </w:p>
    <w:p w14:paraId="05B9454A">
      <w:pPr>
        <w:pStyle w:val="11"/>
        <w:tabs>
          <w:tab w:val="right" w:leader="dot" w:pos="10204"/>
          <w:tab w:val="clear" w:pos="720"/>
          <w:tab w:val="clear" w:pos="882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_Toc12254 </w:instrText>
      </w:r>
      <w:r>
        <w:rPr>
          <w:rFonts w:hint="eastAsia" w:ascii="宋体" w:hAnsi="宋体" w:cs="宋体"/>
          <w:color w:val="auto"/>
          <w:highlight w:val="none"/>
        </w:rPr>
        <w:fldChar w:fldCharType="separate"/>
      </w:r>
      <w:r>
        <w:rPr>
          <w:rFonts w:hint="eastAsia"/>
          <w:color w:val="auto"/>
          <w:highlight w:val="none"/>
        </w:rPr>
        <w:t>一</w:t>
      </w:r>
      <w:r>
        <w:rPr>
          <w:rFonts w:hint="eastAsia"/>
          <w:color w:val="auto"/>
          <w:highlight w:val="none"/>
          <w:lang w:eastAsia="zh-CN"/>
        </w:rPr>
        <w:t>、</w:t>
      </w:r>
      <w:r>
        <w:rPr>
          <w:rFonts w:hint="eastAsia"/>
          <w:color w:val="auto"/>
          <w:highlight w:val="none"/>
        </w:rPr>
        <w:t>服务需求</w:t>
      </w:r>
      <w:r>
        <w:rPr>
          <w:color w:val="auto"/>
          <w:highlight w:val="none"/>
        </w:rPr>
        <w:tab/>
      </w:r>
      <w:r>
        <w:rPr>
          <w:color w:val="auto"/>
          <w:highlight w:val="none"/>
        </w:rPr>
        <w:fldChar w:fldCharType="begin"/>
      </w:r>
      <w:r>
        <w:rPr>
          <w:color w:val="auto"/>
          <w:highlight w:val="none"/>
        </w:rPr>
        <w:instrText xml:space="preserve"> PAGEREF _Toc12254 \h </w:instrText>
      </w:r>
      <w:r>
        <w:rPr>
          <w:color w:val="auto"/>
          <w:highlight w:val="none"/>
        </w:rPr>
        <w:fldChar w:fldCharType="separate"/>
      </w:r>
      <w:r>
        <w:rPr>
          <w:color w:val="auto"/>
          <w:highlight w:val="none"/>
        </w:rPr>
        <w:t>14</w:t>
      </w:r>
      <w:r>
        <w:rPr>
          <w:color w:val="auto"/>
          <w:highlight w:val="none"/>
        </w:rPr>
        <w:fldChar w:fldCharType="end"/>
      </w:r>
      <w:r>
        <w:rPr>
          <w:rFonts w:hint="eastAsia" w:ascii="宋体" w:hAnsi="宋体" w:cs="宋体"/>
          <w:color w:val="auto"/>
          <w:highlight w:val="none"/>
        </w:rPr>
        <w:fldChar w:fldCharType="end"/>
      </w:r>
    </w:p>
    <w:p w14:paraId="0E8D44A2">
      <w:pPr>
        <w:pStyle w:val="11"/>
        <w:tabs>
          <w:tab w:val="right" w:leader="dot" w:pos="10204"/>
          <w:tab w:val="clear" w:pos="720"/>
          <w:tab w:val="clear" w:pos="882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_Toc7745 </w:instrText>
      </w:r>
      <w:r>
        <w:rPr>
          <w:rFonts w:hint="eastAsia" w:ascii="宋体" w:hAnsi="宋体" w:cs="宋体"/>
          <w:color w:val="auto"/>
          <w:highlight w:val="none"/>
        </w:rPr>
        <w:fldChar w:fldCharType="separate"/>
      </w:r>
      <w:r>
        <w:rPr>
          <w:rFonts w:hint="eastAsia"/>
          <w:color w:val="auto"/>
          <w:highlight w:val="none"/>
          <w:lang w:val="en-US" w:eastAsia="zh-CN"/>
        </w:rPr>
        <w:t>二、</w:t>
      </w:r>
      <w:r>
        <w:rPr>
          <w:rFonts w:hint="eastAsia"/>
          <w:color w:val="auto"/>
          <w:highlight w:val="none"/>
          <w:lang w:eastAsia="zh-CN"/>
        </w:rPr>
        <w:t>商务条款</w:t>
      </w:r>
      <w:r>
        <w:rPr>
          <w:color w:val="auto"/>
          <w:highlight w:val="none"/>
        </w:rPr>
        <w:tab/>
      </w:r>
      <w:r>
        <w:rPr>
          <w:color w:val="auto"/>
          <w:highlight w:val="none"/>
        </w:rPr>
        <w:fldChar w:fldCharType="begin"/>
      </w:r>
      <w:r>
        <w:rPr>
          <w:color w:val="auto"/>
          <w:highlight w:val="none"/>
        </w:rPr>
        <w:instrText xml:space="preserve"> PAGEREF _Toc7745 \h </w:instrText>
      </w:r>
      <w:r>
        <w:rPr>
          <w:color w:val="auto"/>
          <w:highlight w:val="none"/>
        </w:rPr>
        <w:fldChar w:fldCharType="separate"/>
      </w:r>
      <w:r>
        <w:rPr>
          <w:color w:val="auto"/>
          <w:highlight w:val="none"/>
        </w:rPr>
        <w:t>16</w:t>
      </w:r>
      <w:r>
        <w:rPr>
          <w:color w:val="auto"/>
          <w:highlight w:val="none"/>
        </w:rPr>
        <w:fldChar w:fldCharType="end"/>
      </w:r>
      <w:r>
        <w:rPr>
          <w:rFonts w:hint="eastAsia" w:ascii="宋体" w:hAnsi="宋体" w:cs="宋体"/>
          <w:color w:val="auto"/>
          <w:highlight w:val="none"/>
        </w:rPr>
        <w:fldChar w:fldCharType="end"/>
      </w:r>
    </w:p>
    <w:p w14:paraId="21776832">
      <w:pPr>
        <w:pStyle w:val="10"/>
        <w:tabs>
          <w:tab w:val="right" w:leader="dot" w:pos="10204"/>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_Toc3473 </w:instrText>
      </w:r>
      <w:r>
        <w:rPr>
          <w:rFonts w:hint="eastAsia" w:ascii="宋体" w:hAnsi="宋体" w:cs="宋体"/>
          <w:color w:val="auto"/>
          <w:highlight w:val="none"/>
        </w:rPr>
        <w:fldChar w:fldCharType="separate"/>
      </w:r>
      <w:r>
        <w:rPr>
          <w:rFonts w:hint="eastAsia" w:ascii="宋体" w:hAnsi="宋体" w:cs="宋体"/>
          <w:color w:val="auto"/>
          <w:szCs w:val="32"/>
          <w:highlight w:val="none"/>
          <w:lang w:val="en-US" w:eastAsia="zh-CN"/>
        </w:rPr>
        <w:t>第五章</w:t>
      </w:r>
      <w:r>
        <w:rPr>
          <w:rFonts w:hint="eastAsia" w:ascii="宋体" w:hAnsi="宋体" w:cs="宋体"/>
          <w:color w:val="auto"/>
          <w:szCs w:val="32"/>
          <w:highlight w:val="none"/>
        </w:rPr>
        <w:t>、合同格式（参考格式）</w:t>
      </w:r>
      <w:r>
        <w:rPr>
          <w:color w:val="auto"/>
          <w:highlight w:val="none"/>
        </w:rPr>
        <w:tab/>
      </w:r>
      <w:r>
        <w:rPr>
          <w:color w:val="auto"/>
          <w:highlight w:val="none"/>
        </w:rPr>
        <w:fldChar w:fldCharType="begin"/>
      </w:r>
      <w:r>
        <w:rPr>
          <w:color w:val="auto"/>
          <w:highlight w:val="none"/>
        </w:rPr>
        <w:instrText xml:space="preserve"> PAGEREF _Toc3473 \h </w:instrText>
      </w:r>
      <w:r>
        <w:rPr>
          <w:color w:val="auto"/>
          <w:highlight w:val="none"/>
        </w:rPr>
        <w:fldChar w:fldCharType="separate"/>
      </w:r>
      <w:r>
        <w:rPr>
          <w:color w:val="auto"/>
          <w:highlight w:val="none"/>
        </w:rPr>
        <w:t>17</w:t>
      </w:r>
      <w:r>
        <w:rPr>
          <w:color w:val="auto"/>
          <w:highlight w:val="none"/>
        </w:rPr>
        <w:fldChar w:fldCharType="end"/>
      </w:r>
      <w:r>
        <w:rPr>
          <w:rFonts w:hint="eastAsia" w:ascii="宋体" w:hAnsi="宋体" w:cs="宋体"/>
          <w:color w:val="auto"/>
          <w:highlight w:val="none"/>
        </w:rPr>
        <w:fldChar w:fldCharType="end"/>
      </w:r>
    </w:p>
    <w:p w14:paraId="3518171A">
      <w:pPr>
        <w:pStyle w:val="11"/>
        <w:tabs>
          <w:tab w:val="right" w:leader="dot" w:pos="10204"/>
          <w:tab w:val="clear" w:pos="720"/>
          <w:tab w:val="clear" w:pos="882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_Toc12008 </w:instrText>
      </w:r>
      <w:r>
        <w:rPr>
          <w:rFonts w:hint="eastAsia" w:ascii="宋体" w:hAnsi="宋体" w:cs="宋体"/>
          <w:color w:val="auto"/>
          <w:highlight w:val="none"/>
        </w:rPr>
        <w:fldChar w:fldCharType="separate"/>
      </w:r>
      <w:r>
        <w:rPr>
          <w:rFonts w:hint="eastAsia"/>
          <w:color w:val="auto"/>
          <w:highlight w:val="none"/>
        </w:rPr>
        <w:t>租赁合同</w:t>
      </w:r>
      <w:r>
        <w:rPr>
          <w:color w:val="auto"/>
          <w:highlight w:val="none"/>
        </w:rPr>
        <w:tab/>
      </w:r>
      <w:r>
        <w:rPr>
          <w:color w:val="auto"/>
          <w:highlight w:val="none"/>
        </w:rPr>
        <w:fldChar w:fldCharType="begin"/>
      </w:r>
      <w:r>
        <w:rPr>
          <w:color w:val="auto"/>
          <w:highlight w:val="none"/>
        </w:rPr>
        <w:instrText xml:space="preserve"> PAGEREF _Toc12008 \h </w:instrText>
      </w:r>
      <w:r>
        <w:rPr>
          <w:color w:val="auto"/>
          <w:highlight w:val="none"/>
        </w:rPr>
        <w:fldChar w:fldCharType="separate"/>
      </w:r>
      <w:r>
        <w:rPr>
          <w:color w:val="auto"/>
          <w:highlight w:val="none"/>
        </w:rPr>
        <w:t>17</w:t>
      </w:r>
      <w:r>
        <w:rPr>
          <w:color w:val="auto"/>
          <w:highlight w:val="none"/>
        </w:rPr>
        <w:fldChar w:fldCharType="end"/>
      </w:r>
      <w:r>
        <w:rPr>
          <w:rFonts w:hint="eastAsia" w:ascii="宋体" w:hAnsi="宋体" w:cs="宋体"/>
          <w:color w:val="auto"/>
          <w:highlight w:val="none"/>
        </w:rPr>
        <w:fldChar w:fldCharType="end"/>
      </w:r>
    </w:p>
    <w:p w14:paraId="2083CC48">
      <w:pPr>
        <w:pStyle w:val="10"/>
        <w:tabs>
          <w:tab w:val="right" w:leader="dot" w:pos="10204"/>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_Toc24826 </w:instrText>
      </w:r>
      <w:r>
        <w:rPr>
          <w:rFonts w:hint="eastAsia" w:ascii="宋体" w:hAnsi="宋体" w:cs="宋体"/>
          <w:color w:val="auto"/>
          <w:highlight w:val="none"/>
        </w:rPr>
        <w:fldChar w:fldCharType="separate"/>
      </w:r>
      <w:r>
        <w:rPr>
          <w:rFonts w:hint="eastAsia"/>
          <w:color w:val="auto"/>
          <w:highlight w:val="none"/>
          <w:lang w:val="en-US" w:eastAsia="zh-CN"/>
        </w:rPr>
        <w:t>第六章</w:t>
      </w:r>
      <w:r>
        <w:rPr>
          <w:rFonts w:hint="eastAsia"/>
          <w:color w:val="auto"/>
          <w:highlight w:val="none"/>
        </w:rPr>
        <w:t>、参选文件格式</w:t>
      </w:r>
      <w:r>
        <w:rPr>
          <w:color w:val="auto"/>
          <w:highlight w:val="none"/>
        </w:rPr>
        <w:tab/>
      </w:r>
      <w:r>
        <w:rPr>
          <w:color w:val="auto"/>
          <w:highlight w:val="none"/>
        </w:rPr>
        <w:fldChar w:fldCharType="begin"/>
      </w:r>
      <w:r>
        <w:rPr>
          <w:color w:val="auto"/>
          <w:highlight w:val="none"/>
        </w:rPr>
        <w:instrText xml:space="preserve"> PAGEREF _Toc24826 \h </w:instrText>
      </w:r>
      <w:r>
        <w:rPr>
          <w:color w:val="auto"/>
          <w:highlight w:val="none"/>
        </w:rPr>
        <w:fldChar w:fldCharType="separate"/>
      </w:r>
      <w:r>
        <w:rPr>
          <w:color w:val="auto"/>
          <w:highlight w:val="none"/>
        </w:rPr>
        <w:t>29</w:t>
      </w:r>
      <w:r>
        <w:rPr>
          <w:color w:val="auto"/>
          <w:highlight w:val="none"/>
        </w:rPr>
        <w:fldChar w:fldCharType="end"/>
      </w:r>
      <w:r>
        <w:rPr>
          <w:rFonts w:hint="eastAsia" w:ascii="宋体" w:hAnsi="宋体" w:cs="宋体"/>
          <w:color w:val="auto"/>
          <w:highlight w:val="none"/>
        </w:rPr>
        <w:fldChar w:fldCharType="end"/>
      </w:r>
    </w:p>
    <w:p w14:paraId="5EAE80CB">
      <w:pPr>
        <w:pStyle w:val="11"/>
        <w:tabs>
          <w:tab w:val="right" w:leader="dot" w:pos="10204"/>
          <w:tab w:val="clear" w:pos="720"/>
          <w:tab w:val="clear" w:pos="882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_Toc7343 </w:instrText>
      </w:r>
      <w:r>
        <w:rPr>
          <w:rFonts w:hint="eastAsia" w:ascii="宋体" w:hAnsi="宋体" w:cs="宋体"/>
          <w:color w:val="auto"/>
          <w:highlight w:val="none"/>
        </w:rPr>
        <w:fldChar w:fldCharType="separate"/>
      </w:r>
      <w:r>
        <w:rPr>
          <w:rFonts w:hint="eastAsia"/>
          <w:color w:val="auto"/>
          <w:highlight w:val="none"/>
        </w:rPr>
        <w:t>1、参选函</w:t>
      </w:r>
      <w:r>
        <w:rPr>
          <w:color w:val="auto"/>
          <w:highlight w:val="none"/>
        </w:rPr>
        <w:tab/>
      </w:r>
      <w:r>
        <w:rPr>
          <w:color w:val="auto"/>
          <w:highlight w:val="none"/>
        </w:rPr>
        <w:fldChar w:fldCharType="begin"/>
      </w:r>
      <w:r>
        <w:rPr>
          <w:color w:val="auto"/>
          <w:highlight w:val="none"/>
        </w:rPr>
        <w:instrText xml:space="preserve"> PAGEREF _Toc7343 \h </w:instrText>
      </w:r>
      <w:r>
        <w:rPr>
          <w:color w:val="auto"/>
          <w:highlight w:val="none"/>
        </w:rPr>
        <w:fldChar w:fldCharType="separate"/>
      </w:r>
      <w:r>
        <w:rPr>
          <w:color w:val="auto"/>
          <w:highlight w:val="none"/>
        </w:rPr>
        <w:t>30</w:t>
      </w:r>
      <w:r>
        <w:rPr>
          <w:color w:val="auto"/>
          <w:highlight w:val="none"/>
        </w:rPr>
        <w:fldChar w:fldCharType="end"/>
      </w:r>
      <w:r>
        <w:rPr>
          <w:rFonts w:hint="eastAsia" w:ascii="宋体" w:hAnsi="宋体" w:cs="宋体"/>
          <w:color w:val="auto"/>
          <w:highlight w:val="none"/>
        </w:rPr>
        <w:fldChar w:fldCharType="end"/>
      </w:r>
    </w:p>
    <w:p w14:paraId="68A373F3">
      <w:pPr>
        <w:pStyle w:val="11"/>
        <w:tabs>
          <w:tab w:val="right" w:leader="dot" w:pos="10204"/>
          <w:tab w:val="clear" w:pos="720"/>
          <w:tab w:val="clear" w:pos="882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_Toc30531 </w:instrText>
      </w:r>
      <w:r>
        <w:rPr>
          <w:rFonts w:hint="eastAsia" w:ascii="宋体" w:hAnsi="宋体" w:cs="宋体"/>
          <w:color w:val="auto"/>
          <w:highlight w:val="none"/>
        </w:rPr>
        <w:fldChar w:fldCharType="separate"/>
      </w:r>
      <w:r>
        <w:rPr>
          <w:rFonts w:hint="eastAsia"/>
          <w:color w:val="auto"/>
          <w:highlight w:val="none"/>
        </w:rPr>
        <w:t>2、参选承诺书</w:t>
      </w:r>
      <w:r>
        <w:rPr>
          <w:color w:val="auto"/>
          <w:highlight w:val="none"/>
        </w:rPr>
        <w:tab/>
      </w:r>
      <w:r>
        <w:rPr>
          <w:color w:val="auto"/>
          <w:highlight w:val="none"/>
        </w:rPr>
        <w:fldChar w:fldCharType="begin"/>
      </w:r>
      <w:r>
        <w:rPr>
          <w:color w:val="auto"/>
          <w:highlight w:val="none"/>
        </w:rPr>
        <w:instrText xml:space="preserve"> PAGEREF _Toc30531 \h </w:instrText>
      </w:r>
      <w:r>
        <w:rPr>
          <w:color w:val="auto"/>
          <w:highlight w:val="none"/>
        </w:rPr>
        <w:fldChar w:fldCharType="separate"/>
      </w:r>
      <w:r>
        <w:rPr>
          <w:color w:val="auto"/>
          <w:highlight w:val="none"/>
        </w:rPr>
        <w:t>31</w:t>
      </w:r>
      <w:r>
        <w:rPr>
          <w:color w:val="auto"/>
          <w:highlight w:val="none"/>
        </w:rPr>
        <w:fldChar w:fldCharType="end"/>
      </w:r>
      <w:r>
        <w:rPr>
          <w:rFonts w:hint="eastAsia" w:ascii="宋体" w:hAnsi="宋体" w:cs="宋体"/>
          <w:color w:val="auto"/>
          <w:highlight w:val="none"/>
        </w:rPr>
        <w:fldChar w:fldCharType="end"/>
      </w:r>
    </w:p>
    <w:p w14:paraId="3F02ABB3">
      <w:pPr>
        <w:pStyle w:val="11"/>
        <w:tabs>
          <w:tab w:val="right" w:leader="dot" w:pos="10204"/>
          <w:tab w:val="clear" w:pos="720"/>
          <w:tab w:val="clear" w:pos="882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_Toc29730 </w:instrText>
      </w:r>
      <w:r>
        <w:rPr>
          <w:rFonts w:hint="eastAsia" w:ascii="宋体" w:hAnsi="宋体" w:cs="宋体"/>
          <w:color w:val="auto"/>
          <w:highlight w:val="none"/>
        </w:rPr>
        <w:fldChar w:fldCharType="separate"/>
      </w:r>
      <w:r>
        <w:rPr>
          <w:rFonts w:hint="eastAsia"/>
          <w:color w:val="auto"/>
          <w:highlight w:val="none"/>
        </w:rPr>
        <w:t>3、比选一览表</w:t>
      </w:r>
      <w:r>
        <w:rPr>
          <w:color w:val="auto"/>
          <w:highlight w:val="none"/>
        </w:rPr>
        <w:tab/>
      </w:r>
      <w:r>
        <w:rPr>
          <w:color w:val="auto"/>
          <w:highlight w:val="none"/>
        </w:rPr>
        <w:fldChar w:fldCharType="begin"/>
      </w:r>
      <w:r>
        <w:rPr>
          <w:color w:val="auto"/>
          <w:highlight w:val="none"/>
        </w:rPr>
        <w:instrText xml:space="preserve"> PAGEREF _Toc29730 \h </w:instrText>
      </w:r>
      <w:r>
        <w:rPr>
          <w:color w:val="auto"/>
          <w:highlight w:val="none"/>
        </w:rPr>
        <w:fldChar w:fldCharType="separate"/>
      </w:r>
      <w:r>
        <w:rPr>
          <w:color w:val="auto"/>
          <w:highlight w:val="none"/>
        </w:rPr>
        <w:t>32</w:t>
      </w:r>
      <w:r>
        <w:rPr>
          <w:color w:val="auto"/>
          <w:highlight w:val="none"/>
        </w:rPr>
        <w:fldChar w:fldCharType="end"/>
      </w:r>
      <w:r>
        <w:rPr>
          <w:rFonts w:hint="eastAsia" w:ascii="宋体" w:hAnsi="宋体" w:cs="宋体"/>
          <w:color w:val="auto"/>
          <w:highlight w:val="none"/>
        </w:rPr>
        <w:fldChar w:fldCharType="end"/>
      </w:r>
    </w:p>
    <w:p w14:paraId="3CF5D1D5">
      <w:pPr>
        <w:pStyle w:val="11"/>
        <w:tabs>
          <w:tab w:val="right" w:leader="dot" w:pos="10204"/>
          <w:tab w:val="clear" w:pos="720"/>
          <w:tab w:val="clear" w:pos="882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_Toc30372 </w:instrText>
      </w:r>
      <w:r>
        <w:rPr>
          <w:rFonts w:hint="eastAsia" w:ascii="宋体" w:hAnsi="宋体" w:cs="宋体"/>
          <w:color w:val="auto"/>
          <w:highlight w:val="none"/>
        </w:rPr>
        <w:fldChar w:fldCharType="separate"/>
      </w:r>
      <w:r>
        <w:rPr>
          <w:rFonts w:hint="eastAsia"/>
          <w:color w:val="auto"/>
          <w:highlight w:val="none"/>
        </w:rPr>
        <w:t>4、比选一览明细表</w:t>
      </w:r>
      <w:r>
        <w:rPr>
          <w:color w:val="auto"/>
          <w:highlight w:val="none"/>
        </w:rPr>
        <w:tab/>
      </w:r>
      <w:r>
        <w:rPr>
          <w:color w:val="auto"/>
          <w:highlight w:val="none"/>
        </w:rPr>
        <w:fldChar w:fldCharType="begin"/>
      </w:r>
      <w:r>
        <w:rPr>
          <w:color w:val="auto"/>
          <w:highlight w:val="none"/>
        </w:rPr>
        <w:instrText xml:space="preserve"> PAGEREF _Toc30372 \h </w:instrText>
      </w:r>
      <w:r>
        <w:rPr>
          <w:color w:val="auto"/>
          <w:highlight w:val="none"/>
        </w:rPr>
        <w:fldChar w:fldCharType="separate"/>
      </w:r>
      <w:r>
        <w:rPr>
          <w:color w:val="auto"/>
          <w:highlight w:val="none"/>
        </w:rPr>
        <w:t>33</w:t>
      </w:r>
      <w:r>
        <w:rPr>
          <w:color w:val="auto"/>
          <w:highlight w:val="none"/>
        </w:rPr>
        <w:fldChar w:fldCharType="end"/>
      </w:r>
      <w:r>
        <w:rPr>
          <w:rFonts w:hint="eastAsia" w:ascii="宋体" w:hAnsi="宋体" w:cs="宋体"/>
          <w:color w:val="auto"/>
          <w:highlight w:val="none"/>
        </w:rPr>
        <w:fldChar w:fldCharType="end"/>
      </w:r>
    </w:p>
    <w:p w14:paraId="2F03F1F7">
      <w:pPr>
        <w:pStyle w:val="11"/>
        <w:tabs>
          <w:tab w:val="right" w:leader="dot" w:pos="10204"/>
          <w:tab w:val="clear" w:pos="720"/>
          <w:tab w:val="clear" w:pos="882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_Toc26351 </w:instrText>
      </w:r>
      <w:r>
        <w:rPr>
          <w:rFonts w:hint="eastAsia" w:ascii="宋体" w:hAnsi="宋体" w:cs="宋体"/>
          <w:color w:val="auto"/>
          <w:highlight w:val="none"/>
        </w:rPr>
        <w:fldChar w:fldCharType="separate"/>
      </w:r>
      <w:r>
        <w:rPr>
          <w:rFonts w:hint="eastAsia"/>
          <w:color w:val="auto"/>
          <w:highlight w:val="none"/>
        </w:rPr>
        <w:t>5、服务需求响应/偏离表</w:t>
      </w:r>
      <w:r>
        <w:rPr>
          <w:color w:val="auto"/>
          <w:highlight w:val="none"/>
        </w:rPr>
        <w:tab/>
      </w:r>
      <w:r>
        <w:rPr>
          <w:color w:val="auto"/>
          <w:highlight w:val="none"/>
        </w:rPr>
        <w:fldChar w:fldCharType="begin"/>
      </w:r>
      <w:r>
        <w:rPr>
          <w:color w:val="auto"/>
          <w:highlight w:val="none"/>
        </w:rPr>
        <w:instrText xml:space="preserve"> PAGEREF _Toc26351 \h </w:instrText>
      </w:r>
      <w:r>
        <w:rPr>
          <w:color w:val="auto"/>
          <w:highlight w:val="none"/>
        </w:rPr>
        <w:fldChar w:fldCharType="separate"/>
      </w:r>
      <w:r>
        <w:rPr>
          <w:color w:val="auto"/>
          <w:highlight w:val="none"/>
        </w:rPr>
        <w:t>34</w:t>
      </w:r>
      <w:r>
        <w:rPr>
          <w:color w:val="auto"/>
          <w:highlight w:val="none"/>
        </w:rPr>
        <w:fldChar w:fldCharType="end"/>
      </w:r>
      <w:r>
        <w:rPr>
          <w:rFonts w:hint="eastAsia" w:ascii="宋体" w:hAnsi="宋体" w:cs="宋体"/>
          <w:color w:val="auto"/>
          <w:highlight w:val="none"/>
        </w:rPr>
        <w:fldChar w:fldCharType="end"/>
      </w:r>
    </w:p>
    <w:p w14:paraId="5B47AF06">
      <w:pPr>
        <w:pStyle w:val="11"/>
        <w:tabs>
          <w:tab w:val="right" w:leader="dot" w:pos="10204"/>
          <w:tab w:val="clear" w:pos="720"/>
          <w:tab w:val="clear" w:pos="882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_Toc17671 </w:instrText>
      </w:r>
      <w:r>
        <w:rPr>
          <w:rFonts w:hint="eastAsia" w:ascii="宋体" w:hAnsi="宋体" w:cs="宋体"/>
          <w:color w:val="auto"/>
          <w:highlight w:val="none"/>
        </w:rPr>
        <w:fldChar w:fldCharType="separate"/>
      </w:r>
      <w:r>
        <w:rPr>
          <w:rFonts w:hint="eastAsia"/>
          <w:color w:val="auto"/>
          <w:highlight w:val="none"/>
        </w:rPr>
        <w:t>6、商务条款响应/偏离表</w:t>
      </w:r>
      <w:r>
        <w:rPr>
          <w:color w:val="auto"/>
          <w:highlight w:val="none"/>
        </w:rPr>
        <w:tab/>
      </w:r>
      <w:r>
        <w:rPr>
          <w:color w:val="auto"/>
          <w:highlight w:val="none"/>
        </w:rPr>
        <w:fldChar w:fldCharType="begin"/>
      </w:r>
      <w:r>
        <w:rPr>
          <w:color w:val="auto"/>
          <w:highlight w:val="none"/>
        </w:rPr>
        <w:instrText xml:space="preserve"> PAGEREF _Toc17671 \h </w:instrText>
      </w:r>
      <w:r>
        <w:rPr>
          <w:color w:val="auto"/>
          <w:highlight w:val="none"/>
        </w:rPr>
        <w:fldChar w:fldCharType="separate"/>
      </w:r>
      <w:r>
        <w:rPr>
          <w:color w:val="auto"/>
          <w:highlight w:val="none"/>
        </w:rPr>
        <w:t>35</w:t>
      </w:r>
      <w:r>
        <w:rPr>
          <w:color w:val="auto"/>
          <w:highlight w:val="none"/>
        </w:rPr>
        <w:fldChar w:fldCharType="end"/>
      </w:r>
      <w:r>
        <w:rPr>
          <w:rFonts w:hint="eastAsia" w:ascii="宋体" w:hAnsi="宋体" w:cs="宋体"/>
          <w:color w:val="auto"/>
          <w:highlight w:val="none"/>
        </w:rPr>
        <w:fldChar w:fldCharType="end"/>
      </w:r>
    </w:p>
    <w:p w14:paraId="2CCF7A23">
      <w:pPr>
        <w:pStyle w:val="11"/>
        <w:tabs>
          <w:tab w:val="right" w:leader="dot" w:pos="10204"/>
          <w:tab w:val="clear" w:pos="720"/>
          <w:tab w:val="clear" w:pos="882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_Toc6794 </w:instrText>
      </w:r>
      <w:r>
        <w:rPr>
          <w:rFonts w:hint="eastAsia" w:ascii="宋体" w:hAnsi="宋体" w:cs="宋体"/>
          <w:color w:val="auto"/>
          <w:highlight w:val="none"/>
        </w:rPr>
        <w:fldChar w:fldCharType="separate"/>
      </w:r>
      <w:r>
        <w:rPr>
          <w:rFonts w:hint="eastAsia"/>
          <w:color w:val="auto"/>
          <w:highlight w:val="none"/>
        </w:rPr>
        <w:t>7、资格证明文件</w:t>
      </w:r>
      <w:r>
        <w:rPr>
          <w:color w:val="auto"/>
          <w:highlight w:val="none"/>
        </w:rPr>
        <w:tab/>
      </w:r>
      <w:r>
        <w:rPr>
          <w:color w:val="auto"/>
          <w:highlight w:val="none"/>
        </w:rPr>
        <w:fldChar w:fldCharType="begin"/>
      </w:r>
      <w:r>
        <w:rPr>
          <w:color w:val="auto"/>
          <w:highlight w:val="none"/>
        </w:rPr>
        <w:instrText xml:space="preserve"> PAGEREF _Toc6794 \h </w:instrText>
      </w:r>
      <w:r>
        <w:rPr>
          <w:color w:val="auto"/>
          <w:highlight w:val="none"/>
        </w:rPr>
        <w:fldChar w:fldCharType="separate"/>
      </w:r>
      <w:r>
        <w:rPr>
          <w:color w:val="auto"/>
          <w:highlight w:val="none"/>
        </w:rPr>
        <w:t>36</w:t>
      </w:r>
      <w:r>
        <w:rPr>
          <w:color w:val="auto"/>
          <w:highlight w:val="none"/>
        </w:rPr>
        <w:fldChar w:fldCharType="end"/>
      </w:r>
      <w:r>
        <w:rPr>
          <w:rFonts w:hint="eastAsia" w:ascii="宋体" w:hAnsi="宋体" w:cs="宋体"/>
          <w:color w:val="auto"/>
          <w:highlight w:val="none"/>
        </w:rPr>
        <w:fldChar w:fldCharType="end"/>
      </w:r>
    </w:p>
    <w:p w14:paraId="4A749B9E">
      <w:pPr>
        <w:pStyle w:val="11"/>
        <w:tabs>
          <w:tab w:val="right" w:leader="dot" w:pos="10204"/>
          <w:tab w:val="clear" w:pos="720"/>
          <w:tab w:val="clear" w:pos="882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_Toc5267 </w:instrText>
      </w:r>
      <w:r>
        <w:rPr>
          <w:rFonts w:hint="eastAsia" w:ascii="宋体" w:hAnsi="宋体" w:cs="宋体"/>
          <w:color w:val="auto"/>
          <w:highlight w:val="none"/>
        </w:rPr>
        <w:fldChar w:fldCharType="separate"/>
      </w:r>
      <w:r>
        <w:rPr>
          <w:rFonts w:hint="eastAsia"/>
          <w:color w:val="auto"/>
          <w:highlight w:val="none"/>
        </w:rPr>
        <w:t>8、参选人情况一览表</w:t>
      </w:r>
      <w:r>
        <w:rPr>
          <w:color w:val="auto"/>
          <w:highlight w:val="none"/>
        </w:rPr>
        <w:tab/>
      </w:r>
      <w:r>
        <w:rPr>
          <w:color w:val="auto"/>
          <w:highlight w:val="none"/>
        </w:rPr>
        <w:fldChar w:fldCharType="begin"/>
      </w:r>
      <w:r>
        <w:rPr>
          <w:color w:val="auto"/>
          <w:highlight w:val="none"/>
        </w:rPr>
        <w:instrText xml:space="preserve"> PAGEREF _Toc5267 \h </w:instrText>
      </w:r>
      <w:r>
        <w:rPr>
          <w:color w:val="auto"/>
          <w:highlight w:val="none"/>
        </w:rPr>
        <w:fldChar w:fldCharType="separate"/>
      </w:r>
      <w:r>
        <w:rPr>
          <w:color w:val="auto"/>
          <w:highlight w:val="none"/>
        </w:rPr>
        <w:t>46</w:t>
      </w:r>
      <w:r>
        <w:rPr>
          <w:color w:val="auto"/>
          <w:highlight w:val="none"/>
        </w:rPr>
        <w:fldChar w:fldCharType="end"/>
      </w:r>
      <w:r>
        <w:rPr>
          <w:rFonts w:hint="eastAsia" w:ascii="宋体" w:hAnsi="宋体" w:cs="宋体"/>
          <w:color w:val="auto"/>
          <w:highlight w:val="none"/>
        </w:rPr>
        <w:fldChar w:fldCharType="end"/>
      </w:r>
    </w:p>
    <w:p w14:paraId="7BBD53F9">
      <w:pPr>
        <w:pStyle w:val="11"/>
        <w:tabs>
          <w:tab w:val="right" w:leader="dot" w:pos="10204"/>
          <w:tab w:val="clear" w:pos="720"/>
          <w:tab w:val="clear" w:pos="882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_Toc6382 </w:instrText>
      </w:r>
      <w:r>
        <w:rPr>
          <w:rFonts w:hint="eastAsia" w:ascii="宋体" w:hAnsi="宋体" w:cs="宋体"/>
          <w:color w:val="auto"/>
          <w:highlight w:val="none"/>
        </w:rPr>
        <w:fldChar w:fldCharType="separate"/>
      </w:r>
      <w:r>
        <w:rPr>
          <w:rFonts w:hint="eastAsia"/>
          <w:color w:val="auto"/>
          <w:highlight w:val="none"/>
        </w:rPr>
        <w:t>9、关于资格的声明函</w:t>
      </w:r>
      <w:r>
        <w:rPr>
          <w:color w:val="auto"/>
          <w:highlight w:val="none"/>
        </w:rPr>
        <w:tab/>
      </w:r>
      <w:r>
        <w:rPr>
          <w:color w:val="auto"/>
          <w:highlight w:val="none"/>
        </w:rPr>
        <w:fldChar w:fldCharType="begin"/>
      </w:r>
      <w:r>
        <w:rPr>
          <w:color w:val="auto"/>
          <w:highlight w:val="none"/>
        </w:rPr>
        <w:instrText xml:space="preserve"> PAGEREF _Toc6382 \h </w:instrText>
      </w:r>
      <w:r>
        <w:rPr>
          <w:color w:val="auto"/>
          <w:highlight w:val="none"/>
        </w:rPr>
        <w:fldChar w:fldCharType="separate"/>
      </w:r>
      <w:r>
        <w:rPr>
          <w:color w:val="auto"/>
          <w:highlight w:val="none"/>
        </w:rPr>
        <w:t>47</w:t>
      </w:r>
      <w:r>
        <w:rPr>
          <w:color w:val="auto"/>
          <w:highlight w:val="none"/>
        </w:rPr>
        <w:fldChar w:fldCharType="end"/>
      </w:r>
      <w:r>
        <w:rPr>
          <w:rFonts w:hint="eastAsia" w:ascii="宋体" w:hAnsi="宋体" w:cs="宋体"/>
          <w:color w:val="auto"/>
          <w:highlight w:val="none"/>
        </w:rPr>
        <w:fldChar w:fldCharType="end"/>
      </w:r>
    </w:p>
    <w:p w14:paraId="549530F2">
      <w:pPr>
        <w:pStyle w:val="11"/>
        <w:tabs>
          <w:tab w:val="right" w:leader="dot" w:pos="10204"/>
          <w:tab w:val="clear" w:pos="720"/>
          <w:tab w:val="clear" w:pos="882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_Toc19943 </w:instrText>
      </w:r>
      <w:r>
        <w:rPr>
          <w:rFonts w:hint="eastAsia" w:ascii="宋体" w:hAnsi="宋体" w:cs="宋体"/>
          <w:color w:val="auto"/>
          <w:highlight w:val="none"/>
        </w:rPr>
        <w:fldChar w:fldCharType="separate"/>
      </w:r>
      <w:r>
        <w:rPr>
          <w:rFonts w:hint="eastAsia"/>
          <w:color w:val="auto"/>
          <w:highlight w:val="none"/>
        </w:rPr>
        <w:t>10、相关方案</w:t>
      </w:r>
      <w:r>
        <w:rPr>
          <w:color w:val="auto"/>
          <w:highlight w:val="none"/>
        </w:rPr>
        <w:tab/>
      </w:r>
      <w:r>
        <w:rPr>
          <w:color w:val="auto"/>
          <w:highlight w:val="none"/>
        </w:rPr>
        <w:fldChar w:fldCharType="begin"/>
      </w:r>
      <w:r>
        <w:rPr>
          <w:color w:val="auto"/>
          <w:highlight w:val="none"/>
        </w:rPr>
        <w:instrText xml:space="preserve"> PAGEREF _Toc19943 \h </w:instrText>
      </w:r>
      <w:r>
        <w:rPr>
          <w:color w:val="auto"/>
          <w:highlight w:val="none"/>
        </w:rPr>
        <w:fldChar w:fldCharType="separate"/>
      </w:r>
      <w:r>
        <w:rPr>
          <w:color w:val="auto"/>
          <w:highlight w:val="none"/>
        </w:rPr>
        <w:t>48</w:t>
      </w:r>
      <w:r>
        <w:rPr>
          <w:color w:val="auto"/>
          <w:highlight w:val="none"/>
        </w:rPr>
        <w:fldChar w:fldCharType="end"/>
      </w:r>
      <w:r>
        <w:rPr>
          <w:rFonts w:hint="eastAsia" w:ascii="宋体" w:hAnsi="宋体" w:cs="宋体"/>
          <w:color w:val="auto"/>
          <w:highlight w:val="none"/>
        </w:rPr>
        <w:fldChar w:fldCharType="end"/>
      </w:r>
    </w:p>
    <w:p w14:paraId="4395D72C">
      <w:pPr>
        <w:spacing w:before="0" w:beforeLines="0" w:after="0" w:afterLines="0" w:line="240" w:lineRule="auto"/>
        <w:ind w:left="0" w:leftChars="0" w:right="0" w:rightChars="0" w:firstLine="0" w:firstLineChars="0"/>
        <w:jc w:val="center"/>
        <w:rPr>
          <w:rFonts w:hint="eastAsia" w:ascii="宋体" w:hAnsi="宋体" w:cs="宋体"/>
          <w:color w:val="auto"/>
          <w:highlight w:val="none"/>
        </w:rPr>
        <w:sectPr>
          <w:footerReference r:id="rId3" w:type="default"/>
          <w:pgSz w:w="11906" w:h="16838"/>
          <w:pgMar w:top="1701" w:right="851" w:bottom="1134" w:left="851" w:header="851" w:footer="754" w:gutter="0"/>
          <w:pgNumType w:start="1"/>
          <w:cols w:space="720" w:num="1"/>
          <w:docGrid w:type="lines" w:linePitch="312" w:charSpace="0"/>
        </w:sectPr>
      </w:pPr>
      <w:r>
        <w:rPr>
          <w:rFonts w:hint="eastAsia" w:ascii="宋体" w:hAnsi="宋体" w:cs="宋体"/>
          <w:color w:val="auto"/>
          <w:highlight w:val="none"/>
        </w:rPr>
        <w:fldChar w:fldCharType="end"/>
      </w:r>
    </w:p>
    <w:p w14:paraId="799C14D6">
      <w:pPr>
        <w:pStyle w:val="2"/>
        <w:numPr>
          <w:ilvl w:val="0"/>
          <w:numId w:val="1"/>
        </w:numPr>
        <w:bidi w:val="0"/>
        <w:rPr>
          <w:rStyle w:val="19"/>
          <w:rFonts w:hint="eastAsia"/>
          <w:b/>
          <w:color w:val="auto"/>
          <w:highlight w:val="none"/>
          <w:lang w:val="en-US" w:eastAsia="zh-CN"/>
        </w:rPr>
      </w:pPr>
      <w:bookmarkStart w:id="0" w:name="_Toc16118"/>
      <w:bookmarkStart w:id="1" w:name="_Toc31788"/>
      <w:r>
        <w:rPr>
          <w:rStyle w:val="19"/>
          <w:rFonts w:hint="eastAsia"/>
          <w:b/>
          <w:color w:val="auto"/>
          <w:highlight w:val="none"/>
          <w:lang w:val="en-US" w:eastAsia="zh-CN"/>
        </w:rPr>
        <w:t xml:space="preserve"> </w:t>
      </w:r>
      <w:bookmarkStart w:id="2" w:name="_Toc28944"/>
      <w:bookmarkStart w:id="3" w:name="_Toc16863"/>
      <w:r>
        <w:rPr>
          <w:rStyle w:val="19"/>
          <w:rFonts w:hint="eastAsia"/>
          <w:b/>
          <w:color w:val="auto"/>
          <w:highlight w:val="none"/>
          <w:lang w:val="en-US" w:eastAsia="zh-CN"/>
        </w:rPr>
        <w:t>比选公告</w:t>
      </w:r>
      <w:bookmarkEnd w:id="2"/>
      <w:bookmarkEnd w:id="3"/>
    </w:p>
    <w:bookmarkEnd w:id="0"/>
    <w:bookmarkEnd w:id="1"/>
    <w:p w14:paraId="683DCA3C">
      <w:pPr>
        <w:pStyle w:val="3"/>
        <w:pageBreakBefore w:val="0"/>
        <w:kinsoku/>
        <w:wordWrap/>
        <w:overflowPunct/>
        <w:topLinePunct w:val="0"/>
        <w:autoSpaceDE/>
        <w:autoSpaceDN/>
        <w:bidi w:val="0"/>
        <w:adjustRightInd/>
        <w:snapToGrid/>
        <w:spacing w:before="0" w:after="20" w:line="360" w:lineRule="auto"/>
        <w:textAlignment w:val="auto"/>
        <w:rPr>
          <w:rFonts w:hint="eastAsia"/>
          <w:color w:val="auto"/>
          <w:highlight w:val="none"/>
        </w:rPr>
      </w:pPr>
      <w:bookmarkStart w:id="4" w:name="_Toc4572"/>
      <w:r>
        <w:rPr>
          <w:rFonts w:hint="eastAsia"/>
          <w:color w:val="auto"/>
          <w:highlight w:val="none"/>
        </w:rPr>
        <w:t>一、参选邀请</w:t>
      </w:r>
      <w:bookmarkEnd w:id="4"/>
    </w:p>
    <w:p w14:paraId="4FD3D327">
      <w:pPr>
        <w:pStyle w:val="13"/>
        <w:pageBreakBefore w:val="0"/>
        <w:kinsoku/>
        <w:wordWrap/>
        <w:overflowPunct/>
        <w:topLinePunct w:val="0"/>
        <w:autoSpaceDE/>
        <w:autoSpaceDN/>
        <w:bidi w:val="0"/>
        <w:adjustRightInd/>
        <w:snapToGrid/>
        <w:spacing w:before="0" w:after="20" w:line="360" w:lineRule="auto"/>
        <w:ind w:firstLine="555"/>
        <w:jc w:val="both"/>
        <w:textAlignment w:val="auto"/>
        <w:rPr>
          <w:rFonts w:hint="eastAsia" w:ascii="宋体" w:hAnsi="宋体"/>
          <w:color w:val="auto"/>
          <w:kern w:val="2"/>
          <w:sz w:val="24"/>
          <w:szCs w:val="24"/>
          <w:highlight w:val="none"/>
          <w:lang w:val="zh-CN"/>
        </w:rPr>
      </w:pPr>
      <w:r>
        <w:rPr>
          <w:rFonts w:hint="eastAsia" w:ascii="宋体" w:hAnsi="宋体"/>
          <w:color w:val="auto"/>
          <w:kern w:val="2"/>
          <w:sz w:val="24"/>
          <w:szCs w:val="24"/>
          <w:highlight w:val="none"/>
          <w:lang w:val="zh-CN"/>
        </w:rPr>
        <w:t>江西省天铖招投标咨询有限公司受</w:t>
      </w:r>
      <w:r>
        <w:rPr>
          <w:rFonts w:hint="eastAsia" w:ascii="宋体" w:hAnsi="宋体"/>
          <w:color w:val="auto"/>
          <w:kern w:val="2"/>
          <w:sz w:val="24"/>
          <w:szCs w:val="24"/>
          <w:highlight w:val="none"/>
          <w:lang w:eastAsia="zh-CN"/>
        </w:rPr>
        <w:t>南昌市红谷滩城市投资集团有限公司</w:t>
      </w:r>
      <w:r>
        <w:rPr>
          <w:rFonts w:hint="eastAsia" w:ascii="宋体" w:hAnsi="宋体"/>
          <w:color w:val="auto"/>
          <w:kern w:val="2"/>
          <w:sz w:val="24"/>
          <w:szCs w:val="24"/>
          <w:highlight w:val="none"/>
          <w:lang w:val="zh-CN"/>
        </w:rPr>
        <w:t>的委托，就</w:t>
      </w:r>
      <w:r>
        <w:rPr>
          <w:rFonts w:hint="eastAsia" w:ascii="宋体" w:hAnsi="宋体"/>
          <w:color w:val="auto"/>
          <w:kern w:val="2"/>
          <w:sz w:val="24"/>
          <w:szCs w:val="24"/>
          <w:highlight w:val="none"/>
          <w:lang w:eastAsia="zh-CN"/>
        </w:rPr>
        <w:t>富源花园、新琚花园、安丰花园、站西花园农贸市场整体招租项目</w:t>
      </w:r>
      <w:r>
        <w:rPr>
          <w:rFonts w:hint="eastAsia" w:ascii="宋体" w:hAnsi="宋体"/>
          <w:color w:val="auto"/>
          <w:kern w:val="2"/>
          <w:sz w:val="24"/>
          <w:szCs w:val="24"/>
          <w:highlight w:val="none"/>
          <w:lang w:val="zh-CN"/>
        </w:rPr>
        <w:t>（项目编号：</w:t>
      </w:r>
      <w:r>
        <w:rPr>
          <w:rFonts w:hint="eastAsia" w:ascii="宋体" w:hAnsi="宋体"/>
          <w:color w:val="auto"/>
          <w:kern w:val="2"/>
          <w:sz w:val="24"/>
          <w:szCs w:val="24"/>
          <w:highlight w:val="none"/>
          <w:lang w:val="en-US" w:eastAsia="zh-CN"/>
        </w:rPr>
        <w:t>JXSTCZFCG-G2026023</w:t>
      </w:r>
      <w:r>
        <w:rPr>
          <w:rFonts w:hint="eastAsia" w:ascii="宋体" w:hAnsi="宋体"/>
          <w:color w:val="auto"/>
          <w:kern w:val="2"/>
          <w:sz w:val="24"/>
          <w:szCs w:val="24"/>
          <w:highlight w:val="none"/>
          <w:lang w:val="zh-CN"/>
        </w:rPr>
        <w:t>）进行国内公开综合比选，</w:t>
      </w:r>
      <w:r>
        <w:rPr>
          <w:rFonts w:hint="eastAsia" w:ascii="宋体" w:hAnsi="宋体"/>
          <w:color w:val="auto"/>
          <w:kern w:val="2"/>
          <w:sz w:val="24"/>
          <w:szCs w:val="24"/>
          <w:highlight w:val="none"/>
        </w:rPr>
        <w:t>欢迎符合资格条件的参选人参与综合比选</w:t>
      </w:r>
      <w:r>
        <w:rPr>
          <w:rFonts w:hint="eastAsia" w:ascii="宋体" w:hAnsi="宋体"/>
          <w:color w:val="auto"/>
          <w:kern w:val="2"/>
          <w:sz w:val="24"/>
          <w:szCs w:val="24"/>
          <w:highlight w:val="none"/>
          <w:lang w:val="zh-CN"/>
        </w:rPr>
        <w:t>。</w:t>
      </w:r>
    </w:p>
    <w:p w14:paraId="4BD57B64">
      <w:pPr>
        <w:pStyle w:val="3"/>
        <w:pageBreakBefore w:val="0"/>
        <w:kinsoku/>
        <w:wordWrap/>
        <w:overflowPunct/>
        <w:topLinePunct w:val="0"/>
        <w:autoSpaceDE/>
        <w:autoSpaceDN/>
        <w:bidi w:val="0"/>
        <w:adjustRightInd/>
        <w:snapToGrid/>
        <w:spacing w:before="0" w:after="20" w:line="360" w:lineRule="auto"/>
        <w:textAlignment w:val="auto"/>
        <w:rPr>
          <w:rFonts w:hint="eastAsia"/>
          <w:color w:val="auto"/>
          <w:highlight w:val="none"/>
        </w:rPr>
      </w:pPr>
      <w:bookmarkStart w:id="5" w:name="_Toc21741"/>
      <w:r>
        <w:rPr>
          <w:rFonts w:hint="eastAsia"/>
          <w:color w:val="auto"/>
          <w:highlight w:val="none"/>
          <w:lang w:val="en-US" w:eastAsia="zh-CN"/>
        </w:rPr>
        <w:t>二、</w:t>
      </w:r>
      <w:r>
        <w:rPr>
          <w:rFonts w:hint="eastAsia"/>
          <w:color w:val="auto"/>
          <w:highlight w:val="none"/>
        </w:rPr>
        <w:t>项目清单</w:t>
      </w:r>
      <w:bookmarkEnd w:id="5"/>
    </w:p>
    <w:tbl>
      <w:tblPr>
        <w:tblStyle w:val="16"/>
        <w:tblW w:w="103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8"/>
        <w:gridCol w:w="1915"/>
        <w:gridCol w:w="1020"/>
        <w:gridCol w:w="1480"/>
        <w:gridCol w:w="4383"/>
      </w:tblGrid>
      <w:tr w14:paraId="4F8C6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508" w:type="dxa"/>
            <w:noWrap w:val="0"/>
            <w:vAlign w:val="center"/>
          </w:tcPr>
          <w:p w14:paraId="41743B37">
            <w:pPr>
              <w:widowControl/>
              <w:spacing w:line="400" w:lineRule="exact"/>
              <w:jc w:val="center"/>
              <w:rPr>
                <w:rFonts w:hint="eastAsia" w:ascii="宋体" w:hAnsi="宋体" w:cs="宋体"/>
                <w:color w:val="auto"/>
                <w:kern w:val="0"/>
                <w:sz w:val="24"/>
                <w:highlight w:val="none"/>
              </w:rPr>
            </w:pPr>
            <w:r>
              <w:rPr>
                <w:rFonts w:hint="eastAsia" w:ascii="宋体" w:hAnsi="宋体" w:cs="宋体"/>
                <w:color w:val="auto"/>
                <w:sz w:val="24"/>
                <w:highlight w:val="none"/>
                <w:lang w:val="zh-CN"/>
              </w:rPr>
              <w:t>项目编号</w:t>
            </w:r>
          </w:p>
        </w:tc>
        <w:tc>
          <w:tcPr>
            <w:tcW w:w="1915" w:type="dxa"/>
            <w:noWrap w:val="0"/>
            <w:vAlign w:val="center"/>
          </w:tcPr>
          <w:p w14:paraId="7EE7A8C1">
            <w:pPr>
              <w:widowControl/>
              <w:spacing w:line="400" w:lineRule="exact"/>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项目名称</w:t>
            </w:r>
          </w:p>
        </w:tc>
        <w:tc>
          <w:tcPr>
            <w:tcW w:w="1020" w:type="dxa"/>
            <w:noWrap w:val="0"/>
            <w:vAlign w:val="center"/>
          </w:tcPr>
          <w:p w14:paraId="7578FF4F">
            <w:pPr>
              <w:widowControl/>
              <w:spacing w:line="400" w:lineRule="exact"/>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数量</w:t>
            </w:r>
          </w:p>
          <w:p w14:paraId="30CB5F56">
            <w:pPr>
              <w:widowControl/>
              <w:spacing w:line="400" w:lineRule="exact"/>
              <w:rPr>
                <w:rFonts w:hint="eastAsia" w:ascii="宋体" w:hAnsi="宋体" w:cs="宋体"/>
                <w:color w:val="auto"/>
                <w:kern w:val="0"/>
                <w:sz w:val="24"/>
                <w:highlight w:val="none"/>
              </w:rPr>
            </w:pPr>
            <w:r>
              <w:rPr>
                <w:rFonts w:hint="eastAsia" w:ascii="宋体" w:hAnsi="宋体" w:cs="宋体"/>
                <w:color w:val="auto"/>
                <w:kern w:val="0"/>
                <w:sz w:val="24"/>
                <w:highlight w:val="none"/>
              </w:rPr>
              <w:t>(单位）</w:t>
            </w:r>
          </w:p>
        </w:tc>
        <w:tc>
          <w:tcPr>
            <w:tcW w:w="1480" w:type="dxa"/>
            <w:noWrap w:val="0"/>
            <w:vAlign w:val="center"/>
          </w:tcPr>
          <w:p w14:paraId="5C98E452">
            <w:pPr>
              <w:widowControl/>
              <w:spacing w:line="400" w:lineRule="exact"/>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要求及参数</w:t>
            </w:r>
          </w:p>
        </w:tc>
        <w:tc>
          <w:tcPr>
            <w:tcW w:w="4383" w:type="dxa"/>
            <w:noWrap w:val="0"/>
            <w:vAlign w:val="center"/>
          </w:tcPr>
          <w:p w14:paraId="14D616EA">
            <w:pPr>
              <w:widowControl/>
              <w:spacing w:line="400" w:lineRule="exact"/>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比选控制价</w:t>
            </w:r>
          </w:p>
        </w:tc>
      </w:tr>
      <w:tr w14:paraId="69F4B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1508" w:type="dxa"/>
            <w:noWrap w:val="0"/>
            <w:vAlign w:val="center"/>
          </w:tcPr>
          <w:p w14:paraId="55FDD571">
            <w:pPr>
              <w:widowControl/>
              <w:spacing w:line="400" w:lineRule="exact"/>
              <w:jc w:val="center"/>
              <w:rPr>
                <w:rFonts w:hint="eastAsia" w:ascii="宋体" w:hAnsi="宋体" w:eastAsia="宋体" w:cs="宋体"/>
                <w:color w:val="auto"/>
                <w:kern w:val="0"/>
                <w:sz w:val="24"/>
                <w:highlight w:val="none"/>
                <w:lang w:eastAsia="zh-CN"/>
              </w:rPr>
            </w:pPr>
            <w:r>
              <w:rPr>
                <w:rFonts w:hint="eastAsia" w:ascii="宋体" w:hAnsi="宋体"/>
                <w:color w:val="auto"/>
                <w:kern w:val="2"/>
                <w:sz w:val="24"/>
                <w:szCs w:val="24"/>
                <w:highlight w:val="none"/>
                <w:lang w:val="en-US" w:eastAsia="zh-CN"/>
              </w:rPr>
              <w:t>JXSTCZFCG-G2026023</w:t>
            </w:r>
          </w:p>
        </w:tc>
        <w:tc>
          <w:tcPr>
            <w:tcW w:w="1915" w:type="dxa"/>
            <w:noWrap w:val="0"/>
            <w:vAlign w:val="center"/>
          </w:tcPr>
          <w:p w14:paraId="2E214B74">
            <w:pPr>
              <w:widowControl/>
              <w:spacing w:line="400" w:lineRule="exact"/>
              <w:jc w:val="center"/>
              <w:rPr>
                <w:rFonts w:hint="eastAsia" w:ascii="宋体" w:hAnsi="宋体" w:eastAsia="宋体" w:cs="宋体"/>
                <w:color w:val="auto"/>
                <w:kern w:val="0"/>
                <w:sz w:val="24"/>
                <w:highlight w:val="none"/>
                <w:lang w:eastAsia="zh-CN"/>
              </w:rPr>
            </w:pPr>
            <w:r>
              <w:rPr>
                <w:rFonts w:hint="eastAsia" w:ascii="宋体" w:hAnsi="宋体" w:cs="宋体"/>
                <w:color w:val="auto"/>
                <w:sz w:val="24"/>
                <w:highlight w:val="none"/>
                <w:lang w:eastAsia="zh-CN"/>
              </w:rPr>
              <w:t>富源花园、新琚花园、安丰花园、站西花园农贸市场整体招租项目</w:t>
            </w:r>
          </w:p>
        </w:tc>
        <w:tc>
          <w:tcPr>
            <w:tcW w:w="1020" w:type="dxa"/>
            <w:noWrap w:val="0"/>
            <w:vAlign w:val="center"/>
          </w:tcPr>
          <w:p w14:paraId="66141DF2">
            <w:pPr>
              <w:widowControl/>
              <w:spacing w:line="400" w:lineRule="exact"/>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1项</w:t>
            </w:r>
          </w:p>
        </w:tc>
        <w:tc>
          <w:tcPr>
            <w:tcW w:w="1480" w:type="dxa"/>
            <w:noWrap w:val="0"/>
            <w:vAlign w:val="center"/>
          </w:tcPr>
          <w:p w14:paraId="0E6266B3">
            <w:pPr>
              <w:widowControl/>
              <w:spacing w:line="400" w:lineRule="exact"/>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详见综合比选文件</w:t>
            </w:r>
          </w:p>
        </w:tc>
        <w:tc>
          <w:tcPr>
            <w:tcW w:w="4383" w:type="dxa"/>
            <w:noWrap w:val="0"/>
            <w:vAlign w:val="center"/>
          </w:tcPr>
          <w:p w14:paraId="69AE5D08">
            <w:pPr>
              <w:widowControl/>
              <w:spacing w:line="400" w:lineRule="exact"/>
              <w:jc w:val="center"/>
              <w:rPr>
                <w:rFonts w:hint="eastAsia" w:ascii="宋体" w:hAnsi="宋体" w:cs="宋体"/>
                <w:color w:val="auto"/>
                <w:sz w:val="24"/>
                <w:highlight w:val="none"/>
              </w:rPr>
            </w:pPr>
            <w:r>
              <w:rPr>
                <w:rFonts w:hint="eastAsia" w:ascii="宋体" w:hAnsi="宋体" w:eastAsia="宋体" w:cs="宋体"/>
                <w:color w:val="auto"/>
                <w:kern w:val="0"/>
                <w:sz w:val="24"/>
                <w:highlight w:val="none"/>
                <w:lang w:val="en-US" w:eastAsia="zh-CN"/>
              </w:rPr>
              <w:t>起始租赁</w:t>
            </w:r>
            <w:r>
              <w:rPr>
                <w:rFonts w:hint="eastAsia" w:ascii="宋体" w:hAnsi="宋体" w:cs="宋体"/>
                <w:color w:val="auto"/>
                <w:kern w:val="0"/>
                <w:sz w:val="24"/>
                <w:highlight w:val="none"/>
                <w:lang w:val="en-US" w:eastAsia="zh-CN"/>
              </w:rPr>
              <w:t>价格</w:t>
            </w:r>
            <w:r>
              <w:rPr>
                <w:rFonts w:hint="eastAsia" w:ascii="宋体" w:hAnsi="宋体" w:eastAsia="宋体" w:cs="宋体"/>
                <w:color w:val="auto"/>
                <w:kern w:val="0"/>
                <w:sz w:val="24"/>
                <w:highlight w:val="none"/>
                <w:lang w:val="en-US" w:eastAsia="zh-CN"/>
              </w:rPr>
              <w:t>不低于105万元/年，租赁期限内租金每三年递增5%</w:t>
            </w:r>
          </w:p>
        </w:tc>
      </w:tr>
    </w:tbl>
    <w:p w14:paraId="6070BE90">
      <w:pPr>
        <w:pStyle w:val="3"/>
        <w:pageBreakBefore w:val="0"/>
        <w:kinsoku/>
        <w:wordWrap/>
        <w:overflowPunct/>
        <w:topLinePunct w:val="0"/>
        <w:autoSpaceDE/>
        <w:autoSpaceDN/>
        <w:bidi w:val="0"/>
        <w:adjustRightInd/>
        <w:snapToGrid/>
        <w:spacing w:before="0" w:after="20" w:line="360" w:lineRule="auto"/>
        <w:textAlignment w:val="auto"/>
        <w:rPr>
          <w:rFonts w:hint="eastAsia"/>
          <w:color w:val="auto"/>
          <w:highlight w:val="none"/>
        </w:rPr>
      </w:pPr>
      <w:bookmarkStart w:id="6" w:name="_Toc5456"/>
      <w:r>
        <w:rPr>
          <w:rFonts w:hint="eastAsia"/>
          <w:color w:val="auto"/>
          <w:highlight w:val="none"/>
          <w:lang w:val="en-US" w:eastAsia="zh-CN"/>
        </w:rPr>
        <w:t>三</w:t>
      </w:r>
      <w:r>
        <w:rPr>
          <w:rFonts w:hint="eastAsia"/>
          <w:color w:val="auto"/>
          <w:highlight w:val="none"/>
        </w:rPr>
        <w:t>、参选人的资格要求</w:t>
      </w:r>
      <w:bookmarkEnd w:id="6"/>
    </w:p>
    <w:p w14:paraId="0C529BB2">
      <w:pPr>
        <w:pageBreakBefore w:val="0"/>
        <w:tabs>
          <w:tab w:val="left" w:pos="735"/>
          <w:tab w:val="left" w:pos="1418"/>
        </w:tabs>
        <w:kinsoku/>
        <w:wordWrap/>
        <w:overflowPunct/>
        <w:topLinePunct w:val="0"/>
        <w:autoSpaceDE/>
        <w:autoSpaceDN/>
        <w:bidi w:val="0"/>
        <w:adjustRightInd/>
        <w:snapToGrid/>
        <w:spacing w:after="20" w:line="360" w:lineRule="auto"/>
        <w:ind w:firstLine="480" w:firstLineChars="200"/>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1.具有</w:t>
      </w:r>
      <w:r>
        <w:rPr>
          <w:rFonts w:hint="eastAsia" w:ascii="宋体" w:hAnsi="宋体" w:cs="宋体"/>
          <w:color w:val="auto"/>
          <w:kern w:val="0"/>
          <w:sz w:val="24"/>
          <w:highlight w:val="none"/>
          <w:lang w:eastAsia="zh-CN"/>
        </w:rPr>
        <w:t>独立承担民事责任的法人或其他组织</w:t>
      </w:r>
      <w:r>
        <w:rPr>
          <w:rFonts w:hint="eastAsia" w:ascii="宋体" w:hAnsi="宋体" w:cs="宋体"/>
          <w:color w:val="auto"/>
          <w:kern w:val="0"/>
          <w:sz w:val="24"/>
          <w:highlight w:val="none"/>
        </w:rPr>
        <w:t>；</w:t>
      </w:r>
    </w:p>
    <w:p w14:paraId="09085D81">
      <w:pPr>
        <w:pageBreakBefore w:val="0"/>
        <w:tabs>
          <w:tab w:val="left" w:pos="735"/>
          <w:tab w:val="left" w:pos="1418"/>
        </w:tabs>
        <w:kinsoku/>
        <w:wordWrap/>
        <w:overflowPunct/>
        <w:topLinePunct w:val="0"/>
        <w:autoSpaceDE/>
        <w:autoSpaceDN/>
        <w:bidi w:val="0"/>
        <w:adjustRightInd/>
        <w:snapToGrid/>
        <w:spacing w:after="20" w:line="360" w:lineRule="auto"/>
        <w:ind w:firstLine="480" w:firstLineChars="200"/>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2.具有良好的商业信誉和健全的财务会计制度；</w:t>
      </w:r>
    </w:p>
    <w:p w14:paraId="1320AB71">
      <w:pPr>
        <w:pageBreakBefore w:val="0"/>
        <w:tabs>
          <w:tab w:val="left" w:pos="735"/>
          <w:tab w:val="left" w:pos="1418"/>
        </w:tabs>
        <w:kinsoku/>
        <w:wordWrap/>
        <w:overflowPunct/>
        <w:topLinePunct w:val="0"/>
        <w:autoSpaceDE/>
        <w:autoSpaceDN/>
        <w:bidi w:val="0"/>
        <w:adjustRightInd/>
        <w:snapToGrid/>
        <w:spacing w:after="20" w:line="360" w:lineRule="auto"/>
        <w:ind w:firstLine="480" w:firstLineChars="200"/>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3.具有履行合同所必需的设备和专业技术能力；</w:t>
      </w:r>
    </w:p>
    <w:p w14:paraId="4C4012B9">
      <w:pPr>
        <w:pageBreakBefore w:val="0"/>
        <w:tabs>
          <w:tab w:val="left" w:pos="735"/>
          <w:tab w:val="left" w:pos="1418"/>
        </w:tabs>
        <w:kinsoku/>
        <w:wordWrap/>
        <w:overflowPunct/>
        <w:topLinePunct w:val="0"/>
        <w:autoSpaceDE/>
        <w:autoSpaceDN/>
        <w:bidi w:val="0"/>
        <w:adjustRightInd/>
        <w:snapToGrid/>
        <w:spacing w:after="20" w:line="360" w:lineRule="auto"/>
        <w:ind w:firstLine="480" w:firstLineChars="200"/>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4.有依法缴纳税收和社会保障资金的良好记录；</w:t>
      </w:r>
    </w:p>
    <w:p w14:paraId="71EC358F">
      <w:pPr>
        <w:pageBreakBefore w:val="0"/>
        <w:tabs>
          <w:tab w:val="left" w:pos="735"/>
          <w:tab w:val="left" w:pos="1418"/>
        </w:tabs>
        <w:kinsoku/>
        <w:wordWrap/>
        <w:overflowPunct/>
        <w:topLinePunct w:val="0"/>
        <w:autoSpaceDE/>
        <w:autoSpaceDN/>
        <w:bidi w:val="0"/>
        <w:adjustRightInd/>
        <w:snapToGrid/>
        <w:spacing w:after="20" w:line="360" w:lineRule="auto"/>
        <w:ind w:firstLine="480" w:firstLineChars="200"/>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5.参加比选活动前三年内，在经营活动中没有重大违法记录；</w:t>
      </w:r>
    </w:p>
    <w:p w14:paraId="73CD67F1">
      <w:pPr>
        <w:pageBreakBefore w:val="0"/>
        <w:tabs>
          <w:tab w:val="left" w:pos="735"/>
          <w:tab w:val="left" w:pos="1418"/>
        </w:tabs>
        <w:kinsoku/>
        <w:wordWrap/>
        <w:overflowPunct/>
        <w:topLinePunct w:val="0"/>
        <w:autoSpaceDE/>
        <w:autoSpaceDN/>
        <w:bidi w:val="0"/>
        <w:adjustRightInd/>
        <w:snapToGrid/>
        <w:spacing w:after="20" w:line="360" w:lineRule="auto"/>
        <w:ind w:firstLine="480" w:firstLineChars="200"/>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6.法律、行政法规规定的其他条件：</w:t>
      </w:r>
    </w:p>
    <w:p w14:paraId="608D15F5">
      <w:pPr>
        <w:pageBreakBefore w:val="0"/>
        <w:tabs>
          <w:tab w:val="left" w:pos="735"/>
          <w:tab w:val="left" w:pos="1418"/>
        </w:tabs>
        <w:kinsoku/>
        <w:wordWrap/>
        <w:overflowPunct/>
        <w:topLinePunct w:val="0"/>
        <w:autoSpaceDE/>
        <w:autoSpaceDN/>
        <w:bidi w:val="0"/>
        <w:adjustRightInd/>
        <w:snapToGrid/>
        <w:spacing w:after="20" w:line="360" w:lineRule="auto"/>
        <w:ind w:firstLine="480" w:firstLineChars="200"/>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6.1提供法定代表人授权委托书（或法定代表人证明资料）原件及被授权人（或法定代表人）身份证；</w:t>
      </w:r>
    </w:p>
    <w:p w14:paraId="283BF583">
      <w:pPr>
        <w:pageBreakBefore w:val="0"/>
        <w:tabs>
          <w:tab w:val="left" w:pos="735"/>
          <w:tab w:val="left" w:pos="1418"/>
        </w:tabs>
        <w:kinsoku/>
        <w:wordWrap/>
        <w:overflowPunct/>
        <w:topLinePunct w:val="0"/>
        <w:autoSpaceDE/>
        <w:autoSpaceDN/>
        <w:bidi w:val="0"/>
        <w:adjustRightInd/>
        <w:snapToGrid/>
        <w:spacing w:after="20" w:line="360" w:lineRule="auto"/>
        <w:ind w:firstLine="480" w:firstLineChars="200"/>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6.2通过“信用中国”网站-信用服务查询相关主体信用记录，被列入失信被执行人、政府采购严重违法失信行为记录名单（处罚期限尚未届满的）、重大税收违法失信主体的参选人和通过中国政府采购网查询相关主体信用记录，被列入政府采购严重违法失信行为记录名单（处罚期限尚未届满的）的参选人，不得参与本项目的比选活动；</w:t>
      </w:r>
    </w:p>
    <w:p w14:paraId="5B411FEA">
      <w:pPr>
        <w:pageBreakBefore w:val="0"/>
        <w:tabs>
          <w:tab w:val="left" w:pos="720"/>
          <w:tab w:val="left" w:pos="1418"/>
        </w:tabs>
        <w:kinsoku/>
        <w:wordWrap/>
        <w:overflowPunct/>
        <w:topLinePunct w:val="0"/>
        <w:autoSpaceDE/>
        <w:autoSpaceDN/>
        <w:bidi w:val="0"/>
        <w:adjustRightInd/>
        <w:snapToGrid/>
        <w:spacing w:after="20" w:line="360" w:lineRule="auto"/>
        <w:ind w:firstLine="480" w:firstLineChars="200"/>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6.3单位负责人为同一人或者存在直接控股、管理关系的不同参选人，不得参加同一合同项下的比选活动；</w:t>
      </w:r>
    </w:p>
    <w:p w14:paraId="5EC07C43">
      <w:pPr>
        <w:pageBreakBefore w:val="0"/>
        <w:tabs>
          <w:tab w:val="left" w:pos="720"/>
          <w:tab w:val="left" w:pos="1418"/>
        </w:tabs>
        <w:kinsoku/>
        <w:wordWrap/>
        <w:overflowPunct/>
        <w:topLinePunct w:val="0"/>
        <w:autoSpaceDE/>
        <w:autoSpaceDN/>
        <w:bidi w:val="0"/>
        <w:adjustRightInd/>
        <w:snapToGrid/>
        <w:spacing w:after="20"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kern w:val="0"/>
          <w:sz w:val="24"/>
          <w:highlight w:val="none"/>
        </w:rPr>
        <w:t>6.4本项目不接受联合体参选。</w:t>
      </w:r>
    </w:p>
    <w:p w14:paraId="3D4422F3">
      <w:pPr>
        <w:pStyle w:val="3"/>
        <w:pageBreakBefore w:val="0"/>
        <w:kinsoku/>
        <w:wordWrap/>
        <w:overflowPunct/>
        <w:topLinePunct w:val="0"/>
        <w:autoSpaceDE/>
        <w:autoSpaceDN/>
        <w:bidi w:val="0"/>
        <w:adjustRightInd/>
        <w:snapToGrid/>
        <w:spacing w:before="0" w:after="20" w:line="360" w:lineRule="auto"/>
        <w:textAlignment w:val="auto"/>
        <w:rPr>
          <w:rFonts w:hint="eastAsia"/>
          <w:color w:val="auto"/>
          <w:highlight w:val="none"/>
        </w:rPr>
      </w:pPr>
      <w:bookmarkStart w:id="7" w:name="_Toc3926"/>
      <w:r>
        <w:rPr>
          <w:rFonts w:hint="eastAsia"/>
          <w:color w:val="auto"/>
          <w:highlight w:val="none"/>
          <w:lang w:val="en-US" w:eastAsia="zh-CN"/>
        </w:rPr>
        <w:t>四</w:t>
      </w:r>
      <w:r>
        <w:rPr>
          <w:rFonts w:hint="eastAsia"/>
          <w:color w:val="auto"/>
          <w:highlight w:val="none"/>
        </w:rPr>
        <w:t>、获取比选文件方式</w:t>
      </w:r>
      <w:bookmarkEnd w:id="7"/>
    </w:p>
    <w:p w14:paraId="6ADA9D70">
      <w:pPr>
        <w:pageBreakBefore w:val="0"/>
        <w:kinsoku/>
        <w:wordWrap/>
        <w:overflowPunct/>
        <w:topLinePunct w:val="0"/>
        <w:autoSpaceDE/>
        <w:autoSpaceDN/>
        <w:bidi w:val="0"/>
        <w:adjustRightInd/>
        <w:snapToGrid/>
        <w:spacing w:after="20" w:line="360" w:lineRule="auto"/>
        <w:ind w:firstLine="480" w:firstLineChars="200"/>
        <w:textAlignment w:val="auto"/>
        <w:rPr>
          <w:rFonts w:hint="eastAsia" w:ascii="宋体" w:hAnsi="宋体" w:cs="宋体"/>
          <w:color w:val="auto"/>
          <w:kern w:val="0"/>
          <w:sz w:val="24"/>
          <w:highlight w:val="none"/>
          <w:lang w:eastAsia="zh-CN"/>
        </w:rPr>
      </w:pPr>
      <w:r>
        <w:rPr>
          <w:rFonts w:hint="eastAsia" w:ascii="宋体" w:hAnsi="宋体" w:cs="宋体"/>
          <w:color w:val="auto"/>
          <w:kern w:val="0"/>
          <w:sz w:val="24"/>
          <w:highlight w:val="none"/>
        </w:rPr>
        <w:t>本项目比选公告发布在中国招标投标公共服务平台（网址http://www.cebpubservice.com/）、</w:t>
      </w:r>
      <w:r>
        <w:rPr>
          <w:rFonts w:hint="eastAsia" w:ascii="宋体" w:hAnsi="宋体" w:cs="宋体"/>
          <w:color w:val="auto"/>
          <w:kern w:val="0"/>
          <w:sz w:val="24"/>
          <w:highlight w:val="none"/>
          <w:lang w:eastAsia="zh-CN"/>
        </w:rPr>
        <w:t>南昌市红谷滩城市投资集团有限公司网站</w:t>
      </w:r>
      <w:r>
        <w:rPr>
          <w:rFonts w:hint="eastAsia" w:ascii="宋体" w:hAnsi="宋体" w:cs="宋体"/>
          <w:color w:val="auto"/>
          <w:kern w:val="0"/>
          <w:sz w:val="24"/>
          <w:highlight w:val="none"/>
        </w:rPr>
        <w:t>(网址：http://www.hgtct.com/Index.aspx)，有意向的参选人自行在</w:t>
      </w:r>
      <w:r>
        <w:rPr>
          <w:rFonts w:hint="eastAsia" w:ascii="宋体" w:hAnsi="宋体" w:cs="宋体"/>
          <w:color w:val="auto"/>
          <w:kern w:val="0"/>
          <w:sz w:val="24"/>
          <w:highlight w:val="none"/>
          <w:lang w:eastAsia="zh-CN"/>
        </w:rPr>
        <w:t>南昌市红谷滩城市投资集团有限公司网站</w:t>
      </w:r>
      <w:r>
        <w:rPr>
          <w:rFonts w:hint="eastAsia" w:ascii="宋体" w:hAnsi="宋体" w:cs="宋体"/>
          <w:color w:val="auto"/>
          <w:kern w:val="0"/>
          <w:sz w:val="24"/>
          <w:highlight w:val="none"/>
        </w:rPr>
        <w:t>(网址：http://www.hgtct.com/Index.aspx)上下载比选文件</w:t>
      </w:r>
      <w:r>
        <w:rPr>
          <w:rFonts w:hint="eastAsia" w:ascii="宋体" w:hAnsi="宋体" w:cs="宋体"/>
          <w:color w:val="auto"/>
          <w:kern w:val="0"/>
          <w:sz w:val="24"/>
          <w:highlight w:val="none"/>
          <w:lang w:eastAsia="zh-CN"/>
        </w:rPr>
        <w:t>。</w:t>
      </w:r>
    </w:p>
    <w:p w14:paraId="42B49B35">
      <w:pPr>
        <w:pStyle w:val="3"/>
        <w:pageBreakBefore w:val="0"/>
        <w:kinsoku/>
        <w:wordWrap/>
        <w:overflowPunct/>
        <w:topLinePunct w:val="0"/>
        <w:autoSpaceDE/>
        <w:autoSpaceDN/>
        <w:bidi w:val="0"/>
        <w:adjustRightInd/>
        <w:snapToGrid/>
        <w:spacing w:before="0" w:after="20" w:line="360" w:lineRule="auto"/>
        <w:textAlignment w:val="auto"/>
        <w:rPr>
          <w:rFonts w:hint="eastAsia"/>
          <w:color w:val="auto"/>
          <w:highlight w:val="none"/>
        </w:rPr>
      </w:pPr>
      <w:bookmarkStart w:id="8" w:name="_Toc10212"/>
      <w:r>
        <w:rPr>
          <w:rFonts w:hint="eastAsia"/>
          <w:color w:val="auto"/>
          <w:highlight w:val="none"/>
          <w:lang w:val="en-US" w:eastAsia="zh-CN"/>
        </w:rPr>
        <w:t>五</w:t>
      </w:r>
      <w:r>
        <w:rPr>
          <w:rFonts w:hint="eastAsia"/>
          <w:color w:val="auto"/>
          <w:highlight w:val="none"/>
        </w:rPr>
        <w:t>、发布公告媒介</w:t>
      </w:r>
      <w:bookmarkEnd w:id="8"/>
    </w:p>
    <w:p w14:paraId="66D59060">
      <w:pPr>
        <w:pageBreakBefore w:val="0"/>
        <w:kinsoku/>
        <w:wordWrap/>
        <w:overflowPunct/>
        <w:topLinePunct w:val="0"/>
        <w:autoSpaceDE/>
        <w:autoSpaceDN/>
        <w:bidi w:val="0"/>
        <w:adjustRightInd/>
        <w:snapToGrid/>
        <w:spacing w:after="20" w:line="360" w:lineRule="auto"/>
        <w:ind w:firstLine="480" w:firstLineChars="200"/>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中国招标投标公共服务平台（http://www.cebpubservice.com/）、</w:t>
      </w:r>
      <w:r>
        <w:rPr>
          <w:rFonts w:hint="eastAsia" w:ascii="宋体" w:hAnsi="宋体" w:cs="宋体"/>
          <w:color w:val="auto"/>
          <w:kern w:val="0"/>
          <w:sz w:val="24"/>
          <w:highlight w:val="none"/>
          <w:lang w:eastAsia="zh-CN"/>
        </w:rPr>
        <w:t>南昌市红谷滩城市投资集团有限公司网站</w:t>
      </w:r>
      <w:r>
        <w:rPr>
          <w:rFonts w:hint="eastAsia" w:ascii="宋体" w:hAnsi="宋体" w:cs="宋体"/>
          <w:color w:val="auto"/>
          <w:kern w:val="0"/>
          <w:sz w:val="24"/>
          <w:highlight w:val="none"/>
        </w:rPr>
        <w:t>(网址：http://www.hgtct.com/Index.aspx)</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江南都市报</w:t>
      </w:r>
      <w:r>
        <w:rPr>
          <w:rFonts w:hint="eastAsia" w:ascii="宋体" w:hAnsi="宋体" w:cs="宋体"/>
          <w:color w:val="auto"/>
          <w:kern w:val="0"/>
          <w:sz w:val="24"/>
          <w:highlight w:val="none"/>
        </w:rPr>
        <w:t>。</w:t>
      </w:r>
    </w:p>
    <w:p w14:paraId="6EBA0CD5">
      <w:pPr>
        <w:pageBreakBefore w:val="0"/>
        <w:kinsoku/>
        <w:wordWrap/>
        <w:overflowPunct/>
        <w:topLinePunct w:val="0"/>
        <w:autoSpaceDE/>
        <w:autoSpaceDN/>
        <w:bidi w:val="0"/>
        <w:adjustRightInd/>
        <w:snapToGrid/>
        <w:spacing w:after="20" w:line="360" w:lineRule="auto"/>
        <w:textAlignment w:val="auto"/>
        <w:rPr>
          <w:rFonts w:hint="eastAsia" w:ascii="宋体" w:hAnsi="宋体" w:cs="宋体"/>
          <w:color w:val="auto"/>
          <w:sz w:val="24"/>
          <w:highlight w:val="none"/>
        </w:rPr>
      </w:pPr>
      <w:bookmarkStart w:id="9" w:name="_Toc25035"/>
      <w:r>
        <w:rPr>
          <w:rStyle w:val="20"/>
          <w:rFonts w:hint="eastAsia"/>
          <w:color w:val="auto"/>
          <w:highlight w:val="none"/>
          <w:lang w:val="en-US" w:eastAsia="zh-CN"/>
        </w:rPr>
        <w:t>六</w:t>
      </w:r>
      <w:r>
        <w:rPr>
          <w:rStyle w:val="20"/>
          <w:rFonts w:hint="eastAsia"/>
          <w:color w:val="auto"/>
          <w:highlight w:val="none"/>
        </w:rPr>
        <w:t>、递交参选文件截止时间及综合比选地点</w:t>
      </w:r>
      <w:bookmarkEnd w:id="9"/>
    </w:p>
    <w:p w14:paraId="78582896">
      <w:pPr>
        <w:pageBreakBefore w:val="0"/>
        <w:widowControl/>
        <w:kinsoku/>
        <w:wordWrap/>
        <w:overflowPunct/>
        <w:topLinePunct w:val="0"/>
        <w:autoSpaceDE/>
        <w:autoSpaceDN/>
        <w:bidi w:val="0"/>
        <w:adjustRightInd/>
        <w:snapToGrid/>
        <w:spacing w:after="20" w:line="360" w:lineRule="auto"/>
        <w:ind w:firstLine="480" w:firstLineChars="200"/>
        <w:jc w:val="left"/>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1、递交参选文件截止时间和综合比选时间为2026年</w:t>
      </w:r>
      <w:r>
        <w:rPr>
          <w:rFonts w:hint="eastAsia" w:ascii="宋体" w:hAnsi="宋体" w:cs="宋体"/>
          <w:color w:val="auto"/>
          <w:kern w:val="0"/>
          <w:sz w:val="24"/>
          <w:highlight w:val="none"/>
          <w:lang w:val="en-US" w:eastAsia="zh-CN"/>
        </w:rPr>
        <w:t>6</w:t>
      </w:r>
      <w:r>
        <w:rPr>
          <w:rFonts w:hint="eastAsia" w:ascii="宋体" w:hAnsi="宋体" w:cs="宋体"/>
          <w:color w:val="auto"/>
          <w:kern w:val="0"/>
          <w:sz w:val="24"/>
          <w:highlight w:val="none"/>
        </w:rPr>
        <w:t>月</w:t>
      </w:r>
      <w:r>
        <w:rPr>
          <w:rFonts w:hint="eastAsia" w:ascii="宋体" w:hAnsi="宋体" w:cs="宋体"/>
          <w:color w:val="auto"/>
          <w:kern w:val="0"/>
          <w:sz w:val="24"/>
          <w:highlight w:val="none"/>
          <w:lang w:val="en-US" w:eastAsia="zh-CN"/>
        </w:rPr>
        <w:t>18</w:t>
      </w:r>
      <w:r>
        <w:rPr>
          <w:rFonts w:hint="eastAsia" w:ascii="宋体" w:hAnsi="宋体" w:cs="宋体"/>
          <w:color w:val="auto"/>
          <w:kern w:val="0"/>
          <w:sz w:val="24"/>
          <w:highlight w:val="none"/>
        </w:rPr>
        <w:t>日</w:t>
      </w:r>
      <w:r>
        <w:rPr>
          <w:rFonts w:hint="eastAsia" w:ascii="宋体" w:hAnsi="宋体" w:cs="宋体"/>
          <w:color w:val="auto"/>
          <w:kern w:val="0"/>
          <w:sz w:val="24"/>
          <w:highlight w:val="none"/>
          <w:lang w:val="en-US" w:eastAsia="zh-CN"/>
        </w:rPr>
        <w:t>下</w:t>
      </w:r>
      <w:r>
        <w:rPr>
          <w:rFonts w:hint="eastAsia" w:ascii="宋体" w:hAnsi="宋体" w:cs="宋体"/>
          <w:color w:val="auto"/>
          <w:kern w:val="0"/>
          <w:sz w:val="24"/>
          <w:highlight w:val="none"/>
        </w:rPr>
        <w:t>午</w:t>
      </w:r>
      <w:r>
        <w:rPr>
          <w:rFonts w:hint="eastAsia" w:ascii="宋体" w:hAnsi="宋体" w:cs="宋体"/>
          <w:color w:val="auto"/>
          <w:kern w:val="0"/>
          <w:sz w:val="24"/>
          <w:highlight w:val="none"/>
          <w:lang w:val="en-US" w:eastAsia="zh-CN"/>
        </w:rPr>
        <w:t>14</w:t>
      </w:r>
      <w:r>
        <w:rPr>
          <w:rFonts w:hint="eastAsia" w:ascii="宋体" w:hAnsi="宋体" w:cs="宋体"/>
          <w:color w:val="auto"/>
          <w:kern w:val="0"/>
          <w:sz w:val="24"/>
          <w:highlight w:val="none"/>
        </w:rPr>
        <w:t>：</w:t>
      </w:r>
      <w:r>
        <w:rPr>
          <w:rFonts w:hint="eastAsia" w:ascii="宋体" w:hAnsi="宋体" w:cs="宋体"/>
          <w:color w:val="auto"/>
          <w:kern w:val="0"/>
          <w:sz w:val="24"/>
          <w:highlight w:val="none"/>
          <w:lang w:val="en-US" w:eastAsia="zh-CN"/>
        </w:rPr>
        <w:t>3</w:t>
      </w:r>
      <w:r>
        <w:rPr>
          <w:rFonts w:hint="eastAsia" w:ascii="宋体" w:hAnsi="宋体" w:cs="宋体"/>
          <w:color w:val="auto"/>
          <w:kern w:val="0"/>
          <w:sz w:val="24"/>
          <w:highlight w:val="none"/>
        </w:rPr>
        <w:t>0（北京时间）</w:t>
      </w:r>
    </w:p>
    <w:p w14:paraId="6163BB70">
      <w:pPr>
        <w:pageBreakBefore w:val="0"/>
        <w:widowControl/>
        <w:kinsoku/>
        <w:wordWrap/>
        <w:overflowPunct/>
        <w:topLinePunct w:val="0"/>
        <w:autoSpaceDE/>
        <w:autoSpaceDN/>
        <w:bidi w:val="0"/>
        <w:adjustRightInd/>
        <w:snapToGrid/>
        <w:spacing w:after="20" w:line="360" w:lineRule="auto"/>
        <w:ind w:firstLine="480" w:firstLineChars="200"/>
        <w:jc w:val="left"/>
        <w:textAlignment w:val="auto"/>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rPr>
        <w:t>2、比选地点：</w:t>
      </w:r>
      <w:r>
        <w:rPr>
          <w:rFonts w:hint="eastAsia" w:ascii="宋体" w:hAnsi="宋体" w:cs="宋体"/>
          <w:color w:val="auto"/>
          <w:kern w:val="0"/>
          <w:sz w:val="24"/>
          <w:highlight w:val="none"/>
          <w:lang w:val="en-US" w:eastAsia="zh-CN"/>
        </w:rPr>
        <w:t>南昌市红谷滩区世贸路博能中心二期7楼703-704室。</w:t>
      </w:r>
    </w:p>
    <w:p w14:paraId="5DAD25B2">
      <w:pPr>
        <w:pStyle w:val="3"/>
        <w:pageBreakBefore w:val="0"/>
        <w:kinsoku/>
        <w:wordWrap/>
        <w:overflowPunct/>
        <w:topLinePunct w:val="0"/>
        <w:autoSpaceDE/>
        <w:autoSpaceDN/>
        <w:bidi w:val="0"/>
        <w:adjustRightInd/>
        <w:snapToGrid/>
        <w:spacing w:before="0" w:after="20" w:line="360" w:lineRule="auto"/>
        <w:textAlignment w:val="auto"/>
        <w:rPr>
          <w:rFonts w:hint="eastAsia"/>
          <w:color w:val="auto"/>
          <w:highlight w:val="none"/>
        </w:rPr>
      </w:pPr>
      <w:bookmarkStart w:id="10" w:name="_Toc8974"/>
      <w:r>
        <w:rPr>
          <w:rFonts w:hint="eastAsia"/>
          <w:color w:val="auto"/>
          <w:highlight w:val="none"/>
          <w:lang w:val="en-US" w:eastAsia="zh-CN"/>
        </w:rPr>
        <w:t>七</w:t>
      </w:r>
      <w:r>
        <w:rPr>
          <w:rFonts w:hint="eastAsia"/>
          <w:color w:val="auto"/>
          <w:highlight w:val="none"/>
        </w:rPr>
        <w:t>、参选保证金缴纳信息</w:t>
      </w:r>
      <w:bookmarkEnd w:id="10"/>
    </w:p>
    <w:p w14:paraId="6BB70015">
      <w:pPr>
        <w:pageBreakBefore w:val="0"/>
        <w:kinsoku/>
        <w:wordWrap/>
        <w:overflowPunct/>
        <w:topLinePunct w:val="0"/>
        <w:autoSpaceDE/>
        <w:autoSpaceDN/>
        <w:bidi w:val="0"/>
        <w:adjustRightInd/>
        <w:snapToGrid/>
        <w:spacing w:after="20" w:line="360"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详见综合比选文件。</w:t>
      </w:r>
    </w:p>
    <w:p w14:paraId="45ADF7D5">
      <w:pPr>
        <w:pStyle w:val="3"/>
        <w:pageBreakBefore w:val="0"/>
        <w:numPr>
          <w:ilvl w:val="0"/>
          <w:numId w:val="2"/>
        </w:numPr>
        <w:kinsoku/>
        <w:wordWrap/>
        <w:overflowPunct/>
        <w:topLinePunct w:val="0"/>
        <w:autoSpaceDE/>
        <w:autoSpaceDN/>
        <w:bidi w:val="0"/>
        <w:adjustRightInd/>
        <w:snapToGrid/>
        <w:spacing w:before="0" w:after="20" w:line="360" w:lineRule="auto"/>
        <w:textAlignment w:val="auto"/>
        <w:rPr>
          <w:rFonts w:hint="eastAsia"/>
          <w:color w:val="auto"/>
          <w:highlight w:val="none"/>
        </w:rPr>
      </w:pPr>
      <w:bookmarkStart w:id="11" w:name="_Toc25933"/>
      <w:r>
        <w:rPr>
          <w:rFonts w:hint="eastAsia"/>
          <w:color w:val="auto"/>
          <w:highlight w:val="none"/>
        </w:rPr>
        <w:t>本项目服务费</w:t>
      </w:r>
      <w:bookmarkEnd w:id="11"/>
    </w:p>
    <w:p w14:paraId="4B7F8386">
      <w:pPr>
        <w:pageBreakBefore w:val="0"/>
        <w:kinsoku/>
        <w:wordWrap/>
        <w:overflowPunct/>
        <w:topLinePunct w:val="0"/>
        <w:autoSpaceDE/>
        <w:autoSpaceDN/>
        <w:bidi w:val="0"/>
        <w:adjustRightInd/>
        <w:snapToGrid/>
        <w:spacing w:after="20" w:line="360"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详见综合比选文件。</w:t>
      </w:r>
    </w:p>
    <w:p w14:paraId="68A79AEC">
      <w:pPr>
        <w:pStyle w:val="3"/>
        <w:pageBreakBefore w:val="0"/>
        <w:kinsoku/>
        <w:wordWrap/>
        <w:overflowPunct/>
        <w:topLinePunct w:val="0"/>
        <w:autoSpaceDE/>
        <w:autoSpaceDN/>
        <w:bidi w:val="0"/>
        <w:adjustRightInd/>
        <w:snapToGrid/>
        <w:spacing w:before="0" w:after="20" w:line="360" w:lineRule="auto"/>
        <w:textAlignment w:val="auto"/>
        <w:rPr>
          <w:rFonts w:hint="eastAsia"/>
          <w:color w:val="auto"/>
          <w:highlight w:val="none"/>
        </w:rPr>
      </w:pPr>
      <w:bookmarkStart w:id="12" w:name="_Toc21415"/>
      <w:r>
        <w:rPr>
          <w:rFonts w:hint="eastAsia"/>
          <w:color w:val="auto"/>
          <w:highlight w:val="none"/>
          <w:lang w:val="en-US" w:eastAsia="zh-CN"/>
        </w:rPr>
        <w:t>九</w:t>
      </w:r>
      <w:r>
        <w:rPr>
          <w:rFonts w:hint="eastAsia"/>
          <w:color w:val="auto"/>
          <w:highlight w:val="none"/>
        </w:rPr>
        <w:t>、评审方法</w:t>
      </w:r>
      <w:bookmarkEnd w:id="12"/>
    </w:p>
    <w:p w14:paraId="7A9504D6">
      <w:pPr>
        <w:pageBreakBefore w:val="0"/>
        <w:widowControl/>
        <w:kinsoku/>
        <w:wordWrap/>
        <w:overflowPunct/>
        <w:topLinePunct w:val="0"/>
        <w:autoSpaceDE/>
        <w:autoSpaceDN/>
        <w:bidi w:val="0"/>
        <w:adjustRightInd/>
        <w:snapToGrid/>
        <w:spacing w:after="20" w:line="360" w:lineRule="auto"/>
        <w:ind w:firstLine="480" w:firstLineChars="200"/>
        <w:jc w:val="left"/>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采用综合评分法，是指评审委员会将按照规定,对满足综合比选文件全部实质性要求的参选文件进行评价和比较，且按评审因素的量化指标评审得分最高的参选人为中选候选人的评审方法。如出现得分相同的，按价格得分由高到低顺序排列；总得分且价格得分相同的，按项目方案得分由高到低顺序排列；如总分、价格分、项目方案分均得分相同的，由评审委员会随机抽取确定中选候选人。</w:t>
      </w:r>
    </w:p>
    <w:p w14:paraId="031E3EDD">
      <w:pPr>
        <w:pStyle w:val="3"/>
        <w:pageBreakBefore w:val="0"/>
        <w:numPr>
          <w:ilvl w:val="0"/>
          <w:numId w:val="0"/>
        </w:numPr>
        <w:kinsoku/>
        <w:wordWrap/>
        <w:overflowPunct/>
        <w:topLinePunct w:val="0"/>
        <w:autoSpaceDE/>
        <w:autoSpaceDN/>
        <w:bidi w:val="0"/>
        <w:adjustRightInd/>
        <w:snapToGrid/>
        <w:spacing w:before="0" w:after="20" w:line="360" w:lineRule="auto"/>
        <w:textAlignment w:val="auto"/>
        <w:rPr>
          <w:rFonts w:hint="eastAsia"/>
          <w:color w:val="auto"/>
          <w:highlight w:val="none"/>
        </w:rPr>
      </w:pPr>
      <w:bookmarkStart w:id="13" w:name="_Toc21442"/>
      <w:r>
        <w:rPr>
          <w:rFonts w:hint="eastAsia"/>
          <w:color w:val="auto"/>
          <w:highlight w:val="none"/>
          <w:lang w:val="en-US" w:eastAsia="zh-CN"/>
        </w:rPr>
        <w:t>十、</w:t>
      </w:r>
      <w:r>
        <w:rPr>
          <w:rFonts w:hint="eastAsia"/>
          <w:color w:val="auto"/>
          <w:highlight w:val="none"/>
        </w:rPr>
        <w:t>签订合同</w:t>
      </w:r>
      <w:bookmarkEnd w:id="13"/>
    </w:p>
    <w:p w14:paraId="4A220771">
      <w:pPr>
        <w:pageBreakBefore w:val="0"/>
        <w:kinsoku/>
        <w:wordWrap/>
        <w:overflowPunct/>
        <w:topLinePunct w:val="0"/>
        <w:autoSpaceDE/>
        <w:autoSpaceDN/>
        <w:bidi w:val="0"/>
        <w:adjustRightInd/>
        <w:snapToGrid/>
        <w:spacing w:after="20"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中选人收到中选通知书后，应派授权代表在15个工作日内与比选人签订合同。</w:t>
      </w:r>
    </w:p>
    <w:p w14:paraId="34864503">
      <w:pPr>
        <w:pStyle w:val="3"/>
        <w:pageBreakBefore w:val="0"/>
        <w:kinsoku/>
        <w:wordWrap/>
        <w:overflowPunct/>
        <w:topLinePunct w:val="0"/>
        <w:autoSpaceDE/>
        <w:autoSpaceDN/>
        <w:bidi w:val="0"/>
        <w:adjustRightInd/>
        <w:snapToGrid/>
        <w:spacing w:before="0" w:after="20" w:line="360" w:lineRule="auto"/>
        <w:textAlignment w:val="auto"/>
        <w:rPr>
          <w:rFonts w:hint="eastAsia"/>
          <w:color w:val="auto"/>
          <w:highlight w:val="none"/>
        </w:rPr>
      </w:pPr>
      <w:bookmarkStart w:id="14" w:name="_Toc29353"/>
      <w:r>
        <w:rPr>
          <w:rFonts w:hint="eastAsia"/>
          <w:color w:val="auto"/>
          <w:highlight w:val="none"/>
        </w:rPr>
        <w:t>十</w:t>
      </w:r>
      <w:r>
        <w:rPr>
          <w:rFonts w:hint="eastAsia"/>
          <w:color w:val="auto"/>
          <w:highlight w:val="none"/>
          <w:lang w:val="en-US" w:eastAsia="zh-CN"/>
        </w:rPr>
        <w:t>一</w:t>
      </w:r>
      <w:r>
        <w:rPr>
          <w:rFonts w:hint="eastAsia"/>
          <w:color w:val="auto"/>
          <w:highlight w:val="none"/>
        </w:rPr>
        <w:t>、联系方式</w:t>
      </w:r>
      <w:bookmarkEnd w:id="14"/>
    </w:p>
    <w:p w14:paraId="23928804">
      <w:pPr>
        <w:pageBreakBefore w:val="0"/>
        <w:kinsoku/>
        <w:wordWrap/>
        <w:overflowPunct/>
        <w:topLinePunct w:val="0"/>
        <w:autoSpaceDE/>
        <w:autoSpaceDN/>
        <w:bidi w:val="0"/>
        <w:adjustRightInd/>
        <w:snapToGrid/>
        <w:spacing w:after="20"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比选人名称：</w:t>
      </w:r>
      <w:r>
        <w:rPr>
          <w:rFonts w:hint="eastAsia" w:ascii="宋体" w:hAnsi="宋体" w:cs="宋体"/>
          <w:color w:val="auto"/>
          <w:sz w:val="24"/>
          <w:highlight w:val="none"/>
          <w:lang w:eastAsia="zh-CN"/>
        </w:rPr>
        <w:t>南昌市红谷滩城市投资集团有限公司</w:t>
      </w:r>
      <w:r>
        <w:rPr>
          <w:rFonts w:hint="eastAsia" w:ascii="宋体" w:hAnsi="宋体" w:cs="宋体"/>
          <w:color w:val="auto"/>
          <w:sz w:val="24"/>
          <w:highlight w:val="none"/>
        </w:rPr>
        <w:t xml:space="preserve"> </w:t>
      </w:r>
    </w:p>
    <w:p w14:paraId="622995FE">
      <w:pPr>
        <w:pageBreakBefore w:val="0"/>
        <w:kinsoku/>
        <w:wordWrap/>
        <w:overflowPunct/>
        <w:topLinePunct w:val="0"/>
        <w:autoSpaceDE/>
        <w:autoSpaceDN/>
        <w:bidi w:val="0"/>
        <w:adjustRightInd/>
        <w:snapToGrid/>
        <w:spacing w:after="20" w:line="360" w:lineRule="auto"/>
        <w:ind w:firstLine="480" w:firstLineChars="200"/>
        <w:textAlignment w:val="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比选人地址：</w:t>
      </w:r>
      <w:r>
        <w:rPr>
          <w:rFonts w:hint="eastAsia" w:ascii="宋体" w:hAnsi="宋体" w:cs="宋体"/>
          <w:color w:val="auto"/>
          <w:sz w:val="24"/>
          <w:highlight w:val="none"/>
          <w:lang w:eastAsia="zh-CN"/>
        </w:rPr>
        <w:t>南昌市红谷滩区会展路545号</w:t>
      </w:r>
      <w:r>
        <w:rPr>
          <w:rFonts w:hint="eastAsia" w:ascii="宋体" w:hAnsi="宋体" w:cs="宋体"/>
          <w:color w:val="auto"/>
          <w:sz w:val="24"/>
          <w:highlight w:val="none"/>
          <w:lang w:val="en-US" w:eastAsia="zh-CN"/>
        </w:rPr>
        <w:t xml:space="preserve"> </w:t>
      </w:r>
    </w:p>
    <w:p w14:paraId="3ACA1657">
      <w:pPr>
        <w:pageBreakBefore w:val="0"/>
        <w:kinsoku/>
        <w:wordWrap/>
        <w:overflowPunct/>
        <w:topLinePunct w:val="0"/>
        <w:autoSpaceDE/>
        <w:autoSpaceDN/>
        <w:bidi w:val="0"/>
        <w:adjustRightInd/>
        <w:snapToGrid/>
        <w:spacing w:after="20" w:line="360" w:lineRule="auto"/>
        <w:ind w:firstLine="480" w:firstLineChars="200"/>
        <w:textAlignment w:val="auto"/>
        <w:rPr>
          <w:rFonts w:hint="eastAsia" w:ascii="宋体" w:hAnsi="宋体" w:eastAsia="宋体" w:cs="宋体"/>
          <w:color w:val="auto"/>
          <w:sz w:val="24"/>
          <w:highlight w:val="none"/>
          <w:lang w:eastAsia="zh-CN"/>
        </w:rPr>
      </w:pPr>
      <w:r>
        <w:rPr>
          <w:rFonts w:hint="eastAsia" w:ascii="宋体" w:hAnsi="宋体" w:cs="宋体"/>
          <w:color w:val="auto"/>
          <w:kern w:val="0"/>
          <w:sz w:val="24"/>
          <w:highlight w:val="none"/>
        </w:rPr>
        <w:t>联 系 人：</w:t>
      </w:r>
      <w:r>
        <w:rPr>
          <w:rFonts w:hint="eastAsia" w:ascii="宋体" w:hAnsi="宋体" w:cs="宋体"/>
          <w:color w:val="auto"/>
          <w:kern w:val="0"/>
          <w:sz w:val="24"/>
          <w:highlight w:val="none"/>
          <w:lang w:val="en-US" w:eastAsia="zh-CN"/>
        </w:rPr>
        <w:t>李先生</w:t>
      </w:r>
      <w:r>
        <w:rPr>
          <w:rFonts w:hint="eastAsia" w:ascii="宋体" w:hAnsi="宋体" w:cs="宋体"/>
          <w:color w:val="auto"/>
          <w:kern w:val="0"/>
          <w:sz w:val="24"/>
          <w:highlight w:val="none"/>
          <w:lang w:eastAsia="zh-CN"/>
        </w:rPr>
        <w:t xml:space="preserve"> </w:t>
      </w:r>
      <w:r>
        <w:rPr>
          <w:rFonts w:hint="eastAsia" w:ascii="宋体" w:hAnsi="宋体" w:cs="宋体"/>
          <w:color w:val="auto"/>
          <w:kern w:val="0"/>
          <w:sz w:val="24"/>
          <w:highlight w:val="none"/>
        </w:rPr>
        <w:t xml:space="preserve">       电话：0791-83833852</w:t>
      </w:r>
    </w:p>
    <w:p w14:paraId="5F9E2141">
      <w:pPr>
        <w:pageBreakBefore w:val="0"/>
        <w:kinsoku/>
        <w:wordWrap/>
        <w:overflowPunct/>
        <w:topLinePunct w:val="0"/>
        <w:autoSpaceDE/>
        <w:autoSpaceDN/>
        <w:bidi w:val="0"/>
        <w:adjustRightInd/>
        <w:snapToGrid/>
        <w:spacing w:after="20"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比选代理机构名称：</w:t>
      </w:r>
      <w:r>
        <w:rPr>
          <w:rFonts w:hint="eastAsia" w:ascii="宋体" w:hAnsi="宋体" w:cs="宋体"/>
          <w:color w:val="auto"/>
          <w:sz w:val="24"/>
          <w:highlight w:val="none"/>
          <w:lang w:eastAsia="zh-CN"/>
        </w:rPr>
        <w:t>江西省天铖招投标咨询有限公司</w:t>
      </w:r>
      <w:r>
        <w:rPr>
          <w:rFonts w:hint="eastAsia" w:ascii="宋体" w:hAnsi="宋体" w:cs="宋体"/>
          <w:color w:val="auto"/>
          <w:sz w:val="24"/>
          <w:highlight w:val="none"/>
        </w:rPr>
        <w:t xml:space="preserve"> </w:t>
      </w:r>
    </w:p>
    <w:p w14:paraId="4CD4088C">
      <w:pPr>
        <w:pageBreakBefore w:val="0"/>
        <w:kinsoku/>
        <w:wordWrap/>
        <w:overflowPunct/>
        <w:topLinePunct w:val="0"/>
        <w:autoSpaceDE/>
        <w:autoSpaceDN/>
        <w:bidi w:val="0"/>
        <w:adjustRightInd/>
        <w:snapToGrid/>
        <w:spacing w:after="20" w:line="360" w:lineRule="auto"/>
        <w:ind w:firstLine="480" w:firstLineChars="200"/>
        <w:textAlignment w:val="auto"/>
        <w:rPr>
          <w:rFonts w:hint="eastAsia" w:ascii="宋体" w:hAnsi="宋体" w:eastAsia="宋体"/>
          <w:color w:val="auto"/>
          <w:sz w:val="24"/>
          <w:highlight w:val="none"/>
          <w:lang w:eastAsia="zh-CN"/>
        </w:rPr>
      </w:pPr>
      <w:r>
        <w:rPr>
          <w:rFonts w:hint="eastAsia" w:ascii="宋体" w:hAnsi="宋体"/>
          <w:color w:val="auto"/>
          <w:sz w:val="24"/>
          <w:highlight w:val="none"/>
        </w:rPr>
        <w:t>详细地址：江西省南昌市东湖区中山路99号四楼A.B.C（第四层）</w:t>
      </w:r>
    </w:p>
    <w:p w14:paraId="3C6CF41D">
      <w:pPr>
        <w:pageBreakBefore w:val="0"/>
        <w:kinsoku/>
        <w:wordWrap/>
        <w:overflowPunct/>
        <w:topLinePunct w:val="0"/>
        <w:autoSpaceDE/>
        <w:autoSpaceDN/>
        <w:bidi w:val="0"/>
        <w:adjustRightInd/>
        <w:snapToGrid/>
        <w:spacing w:after="20" w:line="360" w:lineRule="auto"/>
        <w:ind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 xml:space="preserve">联 系 人：雷益平、徐云云     </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电话：0791-86538874/15070930063</w:t>
      </w:r>
    </w:p>
    <w:p w14:paraId="0523E3B1">
      <w:pPr>
        <w:pageBreakBefore w:val="0"/>
        <w:kinsoku/>
        <w:wordWrap/>
        <w:overflowPunct/>
        <w:topLinePunct w:val="0"/>
        <w:autoSpaceDE/>
        <w:autoSpaceDN/>
        <w:bidi w:val="0"/>
        <w:adjustRightInd/>
        <w:snapToGrid/>
        <w:spacing w:after="20" w:line="360" w:lineRule="auto"/>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邮    箱:794656060@qq.com</w:t>
      </w:r>
    </w:p>
    <w:p w14:paraId="01A12E8E">
      <w:pPr>
        <w:pStyle w:val="2"/>
        <w:bidi w:val="0"/>
        <w:rPr>
          <w:rFonts w:hint="eastAsia" w:ascii="宋体" w:hAnsi="宋体" w:eastAsia="宋体" w:cs="宋体"/>
          <w:color w:val="auto"/>
          <w:highlight w:val="none"/>
          <w:lang w:val="en-US" w:eastAsia="zh-CN"/>
        </w:rPr>
      </w:pPr>
      <w:r>
        <w:rPr>
          <w:rFonts w:hint="eastAsia" w:ascii="宋体" w:hAnsi="宋体" w:eastAsia="宋体" w:cs="Times New Roman"/>
          <w:b w:val="0"/>
          <w:bCs w:val="0"/>
          <w:color w:val="auto"/>
          <w:kern w:val="2"/>
          <w:szCs w:val="24"/>
          <w:highlight w:val="none"/>
          <w:lang w:val="en-US" w:eastAsia="zh-CN" w:bidi="ar-SA"/>
        </w:rPr>
        <w:br w:type="page"/>
      </w:r>
      <w:bookmarkStart w:id="15" w:name="_Toc5969"/>
      <w:bookmarkStart w:id="16" w:name="_Toc13935"/>
      <w:bookmarkStart w:id="17" w:name="_Toc30271"/>
      <w:bookmarkStart w:id="18" w:name="_Toc15594"/>
      <w:bookmarkStart w:id="19" w:name="_Toc25608"/>
      <w:r>
        <w:rPr>
          <w:rFonts w:hint="eastAsia"/>
          <w:color w:val="auto"/>
          <w:highlight w:val="none"/>
          <w:lang w:val="en-US" w:eastAsia="zh-CN"/>
        </w:rPr>
        <w:t>第二章  参选人须知</w:t>
      </w:r>
      <w:bookmarkEnd w:id="15"/>
      <w:bookmarkEnd w:id="16"/>
      <w:bookmarkEnd w:id="17"/>
      <w:bookmarkEnd w:id="18"/>
      <w:bookmarkEnd w:id="19"/>
    </w:p>
    <w:p w14:paraId="514D1280">
      <w:pPr>
        <w:pStyle w:val="3"/>
        <w:bidi w:val="0"/>
        <w:rPr>
          <w:rFonts w:hint="eastAsia"/>
          <w:color w:val="auto"/>
          <w:highlight w:val="none"/>
        </w:rPr>
      </w:pPr>
      <w:bookmarkStart w:id="20" w:name="_Toc20681"/>
      <w:r>
        <w:rPr>
          <w:rFonts w:hint="eastAsia"/>
          <w:color w:val="auto"/>
          <w:highlight w:val="none"/>
          <w:lang w:val="en-US" w:eastAsia="zh-CN"/>
        </w:rPr>
        <w:t>一</w:t>
      </w:r>
      <w:r>
        <w:rPr>
          <w:rFonts w:hint="eastAsia"/>
          <w:color w:val="auto"/>
          <w:highlight w:val="none"/>
        </w:rPr>
        <w:t>、参选人须知前附表</w:t>
      </w:r>
      <w:bookmarkEnd w:id="20"/>
    </w:p>
    <w:tbl>
      <w:tblPr>
        <w:tblStyle w:val="16"/>
        <w:tblW w:w="9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8795"/>
      </w:tblGrid>
      <w:tr w14:paraId="54A6A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9520" w:type="dxa"/>
            <w:gridSpan w:val="2"/>
            <w:noWrap w:val="0"/>
            <w:vAlign w:val="center"/>
          </w:tcPr>
          <w:p w14:paraId="5D442DD4">
            <w:pPr>
              <w:spacing w:line="400" w:lineRule="exact"/>
              <w:jc w:val="center"/>
              <w:rPr>
                <w:rFonts w:hint="eastAsia" w:ascii="宋体" w:hAnsi="宋体" w:cs="宋体"/>
                <w:b/>
                <w:color w:val="auto"/>
                <w:sz w:val="24"/>
                <w:highlight w:val="none"/>
              </w:rPr>
            </w:pPr>
            <w:r>
              <w:rPr>
                <w:rFonts w:hint="eastAsia" w:ascii="宋体" w:hAnsi="宋体" w:cs="宋体"/>
                <w:b/>
                <w:color w:val="auto"/>
                <w:sz w:val="24"/>
                <w:highlight w:val="none"/>
              </w:rPr>
              <w:t>参选人须知前附表</w:t>
            </w:r>
          </w:p>
        </w:tc>
      </w:tr>
      <w:tr w14:paraId="7E413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725" w:type="dxa"/>
            <w:noWrap w:val="0"/>
            <w:vAlign w:val="center"/>
          </w:tcPr>
          <w:p w14:paraId="6C86A68B">
            <w:pPr>
              <w:spacing w:line="400" w:lineRule="exact"/>
              <w:jc w:val="center"/>
              <w:rPr>
                <w:rFonts w:hint="eastAsia" w:ascii="宋体" w:hAnsi="宋体" w:cs="宋体"/>
                <w:b/>
                <w:color w:val="auto"/>
                <w:sz w:val="24"/>
                <w:highlight w:val="none"/>
              </w:rPr>
            </w:pPr>
            <w:r>
              <w:rPr>
                <w:rFonts w:hint="eastAsia" w:ascii="宋体" w:hAnsi="宋体" w:cs="宋体"/>
                <w:b/>
                <w:color w:val="auto"/>
                <w:sz w:val="24"/>
                <w:highlight w:val="none"/>
              </w:rPr>
              <w:t>序号</w:t>
            </w:r>
          </w:p>
        </w:tc>
        <w:tc>
          <w:tcPr>
            <w:tcW w:w="8795" w:type="dxa"/>
            <w:noWrap w:val="0"/>
            <w:vAlign w:val="center"/>
          </w:tcPr>
          <w:p w14:paraId="7785F882">
            <w:pPr>
              <w:spacing w:line="400" w:lineRule="exact"/>
              <w:jc w:val="center"/>
              <w:rPr>
                <w:rFonts w:hint="eastAsia" w:ascii="宋体" w:hAnsi="宋体" w:cs="宋体"/>
                <w:b/>
                <w:color w:val="auto"/>
                <w:sz w:val="24"/>
                <w:highlight w:val="none"/>
              </w:rPr>
            </w:pPr>
            <w:r>
              <w:rPr>
                <w:rFonts w:hint="eastAsia" w:ascii="宋体" w:hAnsi="宋体" w:cs="宋体"/>
                <w:b/>
                <w:color w:val="auto"/>
                <w:sz w:val="24"/>
                <w:highlight w:val="none"/>
              </w:rPr>
              <w:t>内      容</w:t>
            </w:r>
          </w:p>
        </w:tc>
      </w:tr>
      <w:tr w14:paraId="29AE5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725" w:type="dxa"/>
            <w:noWrap w:val="0"/>
            <w:vAlign w:val="center"/>
          </w:tcPr>
          <w:p w14:paraId="49F4E818">
            <w:pP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1</w:t>
            </w:r>
          </w:p>
        </w:tc>
        <w:tc>
          <w:tcPr>
            <w:tcW w:w="8795" w:type="dxa"/>
            <w:noWrap w:val="0"/>
            <w:vAlign w:val="center"/>
          </w:tcPr>
          <w:p w14:paraId="4A3F3300">
            <w:pPr>
              <w:widowControl/>
              <w:tabs>
                <w:tab w:val="left" w:pos="0"/>
              </w:tabs>
              <w:spacing w:line="440" w:lineRule="exact"/>
              <w:jc w:val="left"/>
              <w:rPr>
                <w:rFonts w:hint="eastAsia" w:ascii="宋体" w:hAnsi="宋体" w:cs="宋体"/>
                <w:color w:val="auto"/>
                <w:kern w:val="0"/>
                <w:sz w:val="24"/>
                <w:highlight w:val="none"/>
              </w:rPr>
            </w:pPr>
            <w:r>
              <w:rPr>
                <w:rFonts w:hint="eastAsia" w:ascii="宋体" w:hAnsi="宋体" w:cs="宋体"/>
                <w:color w:val="auto"/>
                <w:kern w:val="0"/>
                <w:sz w:val="24"/>
                <w:highlight w:val="none"/>
              </w:rPr>
              <w:t>项目名称：</w:t>
            </w:r>
            <w:r>
              <w:rPr>
                <w:rFonts w:hint="eastAsia" w:ascii="宋体" w:hAnsi="宋体" w:cs="宋体"/>
                <w:color w:val="auto"/>
                <w:sz w:val="24"/>
                <w:highlight w:val="none"/>
                <w:lang w:eastAsia="zh-CN"/>
              </w:rPr>
              <w:t>富源花园、新琚花园、安丰花园、站西花园农贸市场整体招租项目</w:t>
            </w:r>
            <w:r>
              <w:rPr>
                <w:rFonts w:hint="eastAsia" w:ascii="宋体" w:hAnsi="宋体" w:cs="宋体"/>
                <w:color w:val="auto"/>
                <w:sz w:val="24"/>
                <w:highlight w:val="none"/>
              </w:rPr>
              <w:t xml:space="preserve"> </w:t>
            </w:r>
            <w:r>
              <w:rPr>
                <w:rFonts w:hint="eastAsia" w:ascii="宋体" w:hAnsi="宋体" w:cs="宋体"/>
                <w:color w:val="auto"/>
                <w:kern w:val="0"/>
                <w:sz w:val="24"/>
                <w:highlight w:val="none"/>
              </w:rPr>
              <w:t xml:space="preserve">                                </w:t>
            </w:r>
          </w:p>
          <w:p w14:paraId="47D22701">
            <w:pPr>
              <w:widowControl/>
              <w:tabs>
                <w:tab w:val="left" w:pos="0"/>
              </w:tabs>
              <w:spacing w:line="440" w:lineRule="exact"/>
              <w:jc w:val="left"/>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rPr>
              <w:t>项目编号：</w:t>
            </w:r>
            <w:r>
              <w:rPr>
                <w:rFonts w:hint="eastAsia" w:ascii="宋体" w:hAnsi="宋体" w:cs="宋体"/>
                <w:color w:val="auto"/>
                <w:kern w:val="0"/>
                <w:sz w:val="24"/>
                <w:highlight w:val="none"/>
                <w:lang w:eastAsia="zh-CN"/>
              </w:rPr>
              <w:t>JXSTCZFCG-G2026023</w:t>
            </w:r>
          </w:p>
        </w:tc>
      </w:tr>
      <w:tr w14:paraId="54FAD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6" w:hRule="atLeast"/>
          <w:jc w:val="center"/>
        </w:trPr>
        <w:tc>
          <w:tcPr>
            <w:tcW w:w="725" w:type="dxa"/>
            <w:noWrap w:val="0"/>
            <w:vAlign w:val="center"/>
          </w:tcPr>
          <w:p w14:paraId="6D0AC7CB">
            <w:pP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2</w:t>
            </w:r>
          </w:p>
        </w:tc>
        <w:tc>
          <w:tcPr>
            <w:tcW w:w="8795" w:type="dxa"/>
            <w:noWrap w:val="0"/>
            <w:vAlign w:val="center"/>
          </w:tcPr>
          <w:p w14:paraId="31A3981D">
            <w:pPr>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比选人名称：</w:t>
            </w:r>
            <w:r>
              <w:rPr>
                <w:rFonts w:hint="eastAsia" w:ascii="宋体" w:hAnsi="宋体" w:cs="宋体"/>
                <w:color w:val="auto"/>
                <w:sz w:val="24"/>
                <w:highlight w:val="none"/>
                <w:lang w:eastAsia="zh-CN"/>
              </w:rPr>
              <w:t>南昌市红谷滩城市投资集团有限公司</w:t>
            </w:r>
          </w:p>
          <w:p w14:paraId="125A4DBF">
            <w:pPr>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比选人地址：</w:t>
            </w:r>
            <w:r>
              <w:rPr>
                <w:rFonts w:hint="eastAsia" w:ascii="宋体" w:hAnsi="宋体" w:cs="宋体"/>
                <w:color w:val="auto"/>
                <w:sz w:val="24"/>
                <w:highlight w:val="none"/>
                <w:lang w:eastAsia="zh-CN"/>
              </w:rPr>
              <w:t>南昌市红谷滩区会展路545号</w:t>
            </w:r>
          </w:p>
          <w:p w14:paraId="0418E2B7">
            <w:pPr>
              <w:spacing w:line="360" w:lineRule="auto"/>
              <w:rPr>
                <w:rFonts w:hint="eastAsia" w:ascii="宋体" w:hAnsi="宋体" w:eastAsia="宋体" w:cs="宋体"/>
                <w:color w:val="auto"/>
                <w:highlight w:val="none"/>
                <w:lang w:eastAsia="zh-CN"/>
              </w:rPr>
            </w:pPr>
            <w:r>
              <w:rPr>
                <w:rFonts w:hint="eastAsia" w:ascii="宋体" w:hAnsi="宋体" w:cs="宋体"/>
                <w:color w:val="auto"/>
                <w:sz w:val="24"/>
                <w:highlight w:val="none"/>
              </w:rPr>
              <w:t>联 系 人：</w:t>
            </w:r>
            <w:r>
              <w:rPr>
                <w:rFonts w:hint="eastAsia" w:ascii="宋体" w:hAnsi="宋体" w:cs="宋体"/>
                <w:color w:val="auto"/>
                <w:sz w:val="24"/>
                <w:highlight w:val="none"/>
                <w:lang w:val="en-US" w:eastAsia="zh-CN"/>
              </w:rPr>
              <w:t>李先生</w:t>
            </w:r>
            <w:r>
              <w:rPr>
                <w:rFonts w:hint="eastAsia" w:ascii="宋体" w:hAnsi="宋体" w:cs="宋体"/>
                <w:color w:val="auto"/>
                <w:sz w:val="24"/>
                <w:highlight w:val="none"/>
              </w:rPr>
              <w:t xml:space="preserve">    电话：</w:t>
            </w:r>
            <w:r>
              <w:rPr>
                <w:rFonts w:hint="eastAsia" w:ascii="宋体" w:hAnsi="宋体" w:cs="宋体"/>
                <w:color w:val="auto"/>
                <w:sz w:val="24"/>
                <w:highlight w:val="none"/>
                <w:lang w:val="en-US" w:eastAsia="zh-CN"/>
              </w:rPr>
              <w:t xml:space="preserve">0791-83833852 </w:t>
            </w:r>
          </w:p>
        </w:tc>
      </w:tr>
      <w:tr w14:paraId="66DD4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5" w:type="dxa"/>
            <w:noWrap w:val="0"/>
            <w:vAlign w:val="center"/>
          </w:tcPr>
          <w:p w14:paraId="55AD7269">
            <w:pP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3</w:t>
            </w:r>
          </w:p>
        </w:tc>
        <w:tc>
          <w:tcPr>
            <w:tcW w:w="8795" w:type="dxa"/>
            <w:noWrap w:val="0"/>
            <w:vAlign w:val="center"/>
          </w:tcPr>
          <w:p w14:paraId="12844931">
            <w:pPr>
              <w:widowControl/>
              <w:tabs>
                <w:tab w:val="left" w:pos="0"/>
              </w:tabs>
              <w:spacing w:line="440" w:lineRule="exact"/>
              <w:jc w:val="left"/>
              <w:rPr>
                <w:rFonts w:hint="eastAsia" w:ascii="宋体" w:hAnsi="宋体" w:cs="宋体"/>
                <w:color w:val="auto"/>
                <w:kern w:val="0"/>
                <w:sz w:val="24"/>
                <w:highlight w:val="none"/>
              </w:rPr>
            </w:pPr>
            <w:r>
              <w:rPr>
                <w:rFonts w:hint="eastAsia" w:ascii="宋体" w:hAnsi="宋体" w:cs="宋体"/>
                <w:color w:val="auto"/>
                <w:kern w:val="0"/>
                <w:sz w:val="24"/>
                <w:highlight w:val="none"/>
              </w:rPr>
              <w:t>比选代理机构：</w:t>
            </w:r>
            <w:r>
              <w:rPr>
                <w:rFonts w:hint="eastAsia" w:ascii="宋体" w:hAnsi="宋体" w:cs="宋体"/>
                <w:color w:val="auto"/>
                <w:kern w:val="0"/>
                <w:sz w:val="24"/>
                <w:highlight w:val="none"/>
                <w:lang w:eastAsia="zh-CN"/>
              </w:rPr>
              <w:t>江西省天铖招投标咨询有限公司</w:t>
            </w:r>
            <w:r>
              <w:rPr>
                <w:rFonts w:hint="eastAsia" w:ascii="宋体" w:hAnsi="宋体" w:cs="宋体"/>
                <w:color w:val="auto"/>
                <w:kern w:val="0"/>
                <w:sz w:val="24"/>
                <w:highlight w:val="none"/>
              </w:rPr>
              <w:t xml:space="preserve"> </w:t>
            </w:r>
          </w:p>
          <w:p w14:paraId="00F30FD1">
            <w:pPr>
              <w:snapToGrid w:val="0"/>
              <w:spacing w:line="360" w:lineRule="auto"/>
              <w:rPr>
                <w:rFonts w:hint="eastAsia" w:ascii="宋体" w:hAnsi="宋体" w:eastAsia="宋体"/>
                <w:color w:val="auto"/>
                <w:sz w:val="24"/>
                <w:highlight w:val="none"/>
                <w:lang w:eastAsia="zh-CN"/>
              </w:rPr>
            </w:pPr>
            <w:r>
              <w:rPr>
                <w:rFonts w:hint="eastAsia" w:ascii="宋体" w:hAnsi="宋体"/>
                <w:color w:val="auto"/>
                <w:sz w:val="24"/>
                <w:highlight w:val="none"/>
              </w:rPr>
              <w:t>详细地址：江西省南昌市东湖区中山路99号四楼A.B.C（第四层）</w:t>
            </w:r>
          </w:p>
          <w:p w14:paraId="72405B39">
            <w:pPr>
              <w:snapToGrid w:val="0"/>
              <w:spacing w:line="240" w:lineRule="auto"/>
              <w:rPr>
                <w:rFonts w:hint="eastAsia" w:ascii="宋体" w:hAnsi="宋体" w:eastAsia="宋体" w:cs="宋体"/>
                <w:color w:val="auto"/>
                <w:kern w:val="0"/>
                <w:sz w:val="24"/>
                <w:highlight w:val="none"/>
                <w:lang w:eastAsia="zh-CN"/>
              </w:rPr>
            </w:pPr>
            <w:r>
              <w:rPr>
                <w:rFonts w:hint="eastAsia" w:ascii="宋体" w:hAnsi="宋体"/>
                <w:color w:val="auto"/>
                <w:sz w:val="24"/>
                <w:highlight w:val="none"/>
              </w:rPr>
              <w:t>联 系 人：雷益平、徐云云</w:t>
            </w:r>
            <w:r>
              <w:rPr>
                <w:rFonts w:hint="eastAsia" w:ascii="宋体" w:hAnsi="宋体"/>
                <w:color w:val="auto"/>
                <w:sz w:val="24"/>
                <w:highlight w:val="none"/>
                <w:lang w:val="en-US" w:eastAsia="zh-CN"/>
              </w:rPr>
              <w:t xml:space="preserve"> </w:t>
            </w:r>
            <w:r>
              <w:rPr>
                <w:rFonts w:hint="eastAsia" w:ascii="宋体" w:hAnsi="宋体"/>
                <w:color w:val="auto"/>
                <w:sz w:val="24"/>
                <w:highlight w:val="none"/>
              </w:rPr>
              <w:t xml:space="preserve">  电    话：0791-86538874/15070930063</w:t>
            </w:r>
          </w:p>
        </w:tc>
      </w:tr>
      <w:tr w14:paraId="44B3D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5" w:type="dxa"/>
            <w:noWrap w:val="0"/>
            <w:vAlign w:val="center"/>
          </w:tcPr>
          <w:p w14:paraId="15B171B4">
            <w:pP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4</w:t>
            </w:r>
          </w:p>
        </w:tc>
        <w:tc>
          <w:tcPr>
            <w:tcW w:w="8795" w:type="dxa"/>
            <w:noWrap w:val="0"/>
            <w:vAlign w:val="center"/>
          </w:tcPr>
          <w:p w14:paraId="12BCECF4">
            <w:pPr>
              <w:spacing w:line="440" w:lineRule="exact"/>
              <w:rPr>
                <w:rFonts w:hint="eastAsia" w:ascii="宋体" w:hAnsi="宋体" w:cs="宋体"/>
                <w:color w:val="auto"/>
                <w:sz w:val="24"/>
                <w:highlight w:val="none"/>
              </w:rPr>
            </w:pPr>
            <w:r>
              <w:rPr>
                <w:rFonts w:hint="eastAsia" w:ascii="宋体" w:hAnsi="宋体" w:cs="宋体"/>
                <w:color w:val="auto"/>
                <w:sz w:val="24"/>
                <w:highlight w:val="none"/>
              </w:rPr>
              <w:t>参选人资格要求：详见“第一章 比选公告</w:t>
            </w:r>
            <w:r>
              <w:rPr>
                <w:rFonts w:hint="eastAsia" w:ascii="宋体" w:hAnsi="宋体" w:cs="宋体"/>
                <w:color w:val="auto"/>
                <w:kern w:val="0"/>
                <w:sz w:val="24"/>
                <w:highlight w:val="none"/>
              </w:rPr>
              <w:t>”</w:t>
            </w:r>
          </w:p>
        </w:tc>
      </w:tr>
      <w:tr w14:paraId="51DAF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5" w:type="dxa"/>
            <w:noWrap w:val="0"/>
            <w:vAlign w:val="center"/>
          </w:tcPr>
          <w:p w14:paraId="2E2D466D">
            <w:pP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5</w:t>
            </w:r>
          </w:p>
        </w:tc>
        <w:tc>
          <w:tcPr>
            <w:tcW w:w="8795" w:type="dxa"/>
            <w:noWrap w:val="0"/>
            <w:vAlign w:val="center"/>
          </w:tcPr>
          <w:p w14:paraId="7217EB79">
            <w:pPr>
              <w:spacing w:line="400" w:lineRule="exact"/>
              <w:rPr>
                <w:rFonts w:hint="eastAsia" w:ascii="宋体" w:hAnsi="宋体" w:cs="宋体"/>
                <w:color w:val="auto"/>
                <w:sz w:val="24"/>
                <w:highlight w:val="none"/>
              </w:rPr>
            </w:pPr>
            <w:r>
              <w:rPr>
                <w:rFonts w:hint="eastAsia" w:ascii="宋体" w:hAnsi="宋体" w:cs="宋体"/>
                <w:color w:val="auto"/>
                <w:sz w:val="24"/>
                <w:highlight w:val="none"/>
              </w:rPr>
              <w:t>比选范围：详见“第一章 比选公告</w:t>
            </w:r>
            <w:r>
              <w:rPr>
                <w:rFonts w:hint="eastAsia" w:ascii="宋体" w:hAnsi="宋体" w:cs="宋体"/>
                <w:color w:val="auto"/>
                <w:kern w:val="0"/>
                <w:sz w:val="24"/>
                <w:highlight w:val="none"/>
              </w:rPr>
              <w:t>”</w:t>
            </w:r>
          </w:p>
        </w:tc>
      </w:tr>
      <w:tr w14:paraId="7D47A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725" w:type="dxa"/>
            <w:noWrap w:val="0"/>
            <w:vAlign w:val="center"/>
          </w:tcPr>
          <w:p w14:paraId="3B3E38F5">
            <w:pP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6</w:t>
            </w:r>
          </w:p>
        </w:tc>
        <w:tc>
          <w:tcPr>
            <w:tcW w:w="8795" w:type="dxa"/>
            <w:noWrap w:val="0"/>
            <w:vAlign w:val="center"/>
          </w:tcPr>
          <w:p w14:paraId="159B8A1C">
            <w:pPr>
              <w:spacing w:line="400" w:lineRule="exact"/>
              <w:rPr>
                <w:rFonts w:hint="eastAsia" w:ascii="宋体" w:hAnsi="宋体" w:cs="宋体"/>
                <w:color w:val="auto"/>
                <w:sz w:val="24"/>
                <w:highlight w:val="none"/>
              </w:rPr>
            </w:pPr>
            <w:r>
              <w:rPr>
                <w:rFonts w:hint="eastAsia" w:ascii="宋体" w:hAnsi="宋体" w:cs="宋体"/>
                <w:color w:val="auto"/>
                <w:sz w:val="24"/>
                <w:highlight w:val="none"/>
              </w:rPr>
              <w:t>参选有效期：自比选之日起90个日历日内保持有效。</w:t>
            </w:r>
          </w:p>
        </w:tc>
      </w:tr>
      <w:tr w14:paraId="64412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25" w:type="dxa"/>
            <w:noWrap w:val="0"/>
            <w:vAlign w:val="center"/>
          </w:tcPr>
          <w:p w14:paraId="232FE11A">
            <w:pP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7</w:t>
            </w:r>
          </w:p>
        </w:tc>
        <w:tc>
          <w:tcPr>
            <w:tcW w:w="8795" w:type="dxa"/>
            <w:noWrap w:val="0"/>
            <w:vAlign w:val="center"/>
          </w:tcPr>
          <w:p w14:paraId="34DB5347">
            <w:pPr>
              <w:spacing w:line="400" w:lineRule="exact"/>
              <w:rPr>
                <w:rFonts w:hint="eastAsia" w:ascii="宋体" w:hAnsi="宋体" w:cs="宋体"/>
                <w:color w:val="auto"/>
                <w:sz w:val="24"/>
                <w:highlight w:val="none"/>
              </w:rPr>
            </w:pPr>
            <w:bookmarkStart w:id="21" w:name="EB01742555aa094a088c434afd76953319"/>
            <w:r>
              <w:rPr>
                <w:rFonts w:hint="eastAsia" w:ascii="宋体" w:hAnsi="宋体" w:cs="宋体"/>
                <w:color w:val="auto"/>
                <w:sz w:val="24"/>
                <w:highlight w:val="none"/>
              </w:rPr>
              <w:t>租期：</w:t>
            </w:r>
            <w:bookmarkEnd w:id="21"/>
            <w:r>
              <w:rPr>
                <w:rFonts w:hint="eastAsia" w:ascii="宋体" w:hAnsi="宋体" w:cs="宋体"/>
                <w:color w:val="auto"/>
                <w:sz w:val="24"/>
                <w:highlight w:val="none"/>
                <w:lang w:val="en-US" w:eastAsia="zh-CN"/>
              </w:rPr>
              <w:t>10</w:t>
            </w:r>
            <w:r>
              <w:rPr>
                <w:rFonts w:hint="eastAsia" w:ascii="宋体" w:hAnsi="宋体" w:cs="宋体"/>
                <w:color w:val="auto"/>
                <w:sz w:val="24"/>
                <w:highlight w:val="none"/>
              </w:rPr>
              <w:t>年。</w:t>
            </w:r>
          </w:p>
        </w:tc>
      </w:tr>
      <w:tr w14:paraId="347D0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725" w:type="dxa"/>
            <w:noWrap w:val="0"/>
            <w:vAlign w:val="center"/>
          </w:tcPr>
          <w:p w14:paraId="13D0CEDD">
            <w:pPr>
              <w:jc w:val="center"/>
              <w:rPr>
                <w:rFonts w:hint="eastAsia" w:ascii="宋体" w:hAnsi="宋体" w:cs="宋体"/>
                <w:color w:val="auto"/>
                <w:sz w:val="24"/>
                <w:highlight w:val="none"/>
              </w:rPr>
            </w:pPr>
            <w:r>
              <w:rPr>
                <w:rFonts w:hint="eastAsia" w:ascii="宋体" w:hAnsi="宋体" w:cs="宋体"/>
                <w:color w:val="auto"/>
                <w:sz w:val="24"/>
                <w:highlight w:val="none"/>
              </w:rPr>
              <w:t>8</w:t>
            </w:r>
          </w:p>
        </w:tc>
        <w:tc>
          <w:tcPr>
            <w:tcW w:w="8795" w:type="dxa"/>
            <w:noWrap w:val="0"/>
            <w:vAlign w:val="center"/>
          </w:tcPr>
          <w:p w14:paraId="3DD816F2">
            <w:pPr>
              <w:snapToGrid w:val="0"/>
              <w:spacing w:line="400" w:lineRule="exact"/>
              <w:rPr>
                <w:rFonts w:hint="eastAsia" w:ascii="宋体" w:hAnsi="宋体" w:cs="宋体"/>
                <w:color w:val="auto"/>
                <w:kern w:val="0"/>
                <w:sz w:val="24"/>
                <w:highlight w:val="none"/>
              </w:rPr>
            </w:pPr>
            <w:r>
              <w:rPr>
                <w:rFonts w:hint="eastAsia" w:ascii="宋体" w:hAnsi="宋体" w:cs="宋体"/>
                <w:b/>
                <w:bCs/>
                <w:color w:val="auto"/>
                <w:sz w:val="24"/>
                <w:highlight w:val="none"/>
              </w:rPr>
              <w:t>参选保证金金额</w:t>
            </w:r>
            <w:r>
              <w:rPr>
                <w:rFonts w:hint="eastAsia" w:ascii="宋体" w:hAnsi="宋体" w:cs="宋体"/>
                <w:color w:val="auto"/>
                <w:sz w:val="24"/>
                <w:highlight w:val="none"/>
              </w:rPr>
              <w:t>：人民币贰拾万元整（¥200000.00元）（须足额缴纳）。</w:t>
            </w:r>
          </w:p>
          <w:p w14:paraId="5B18D3CD">
            <w:pPr>
              <w:snapToGrid w:val="0"/>
              <w:spacing w:line="400" w:lineRule="exact"/>
              <w:rPr>
                <w:rFonts w:hint="eastAsia" w:ascii="宋体" w:hAnsi="宋体" w:cs="宋体"/>
                <w:color w:val="auto"/>
                <w:sz w:val="24"/>
                <w:highlight w:val="none"/>
              </w:rPr>
            </w:pPr>
            <w:r>
              <w:rPr>
                <w:rFonts w:hint="eastAsia" w:ascii="宋体" w:hAnsi="宋体" w:cs="宋体"/>
                <w:color w:val="auto"/>
                <w:sz w:val="24"/>
                <w:highlight w:val="none"/>
              </w:rPr>
              <w:t>参选保证金应于参选截止时间之前递交到</w:t>
            </w:r>
            <w:r>
              <w:rPr>
                <w:rFonts w:hint="eastAsia" w:ascii="宋体" w:hAnsi="宋体" w:cs="宋体"/>
                <w:color w:val="auto"/>
                <w:sz w:val="24"/>
                <w:highlight w:val="none"/>
                <w:lang w:val="en-US" w:eastAsia="zh-CN"/>
              </w:rPr>
              <w:t>江西省天铖招投标咨询有限公司</w:t>
            </w:r>
            <w:r>
              <w:rPr>
                <w:rFonts w:hint="eastAsia" w:ascii="宋体" w:hAnsi="宋体" w:cs="宋体"/>
                <w:color w:val="auto"/>
                <w:sz w:val="24"/>
                <w:highlight w:val="none"/>
              </w:rPr>
              <w:t>（到账时间为准）。</w:t>
            </w:r>
          </w:p>
          <w:p w14:paraId="7290CD9C">
            <w:pPr>
              <w:snapToGrid w:val="0"/>
              <w:spacing w:line="400" w:lineRule="exact"/>
              <w:rPr>
                <w:rFonts w:hint="eastAsia" w:ascii="宋体" w:hAnsi="宋体" w:cs="宋体"/>
                <w:color w:val="auto"/>
                <w:sz w:val="24"/>
                <w:highlight w:val="none"/>
              </w:rPr>
            </w:pPr>
            <w:r>
              <w:rPr>
                <w:rFonts w:hint="eastAsia" w:ascii="宋体" w:hAnsi="宋体" w:cs="宋体"/>
                <w:color w:val="auto"/>
                <w:sz w:val="24"/>
                <w:highlight w:val="none"/>
              </w:rPr>
              <w:t>注：</w:t>
            </w:r>
            <w:r>
              <w:rPr>
                <w:rFonts w:hint="eastAsia" w:ascii="宋体" w:hAnsi="宋体" w:cs="宋体"/>
                <w:color w:val="auto"/>
                <w:sz w:val="24"/>
                <w:highlight w:val="none"/>
                <w:lang w:eastAsia="zh-CN"/>
              </w:rPr>
              <w:t>参选保证金</w:t>
            </w:r>
            <w:r>
              <w:rPr>
                <w:rFonts w:hint="eastAsia" w:ascii="宋体" w:hAnsi="宋体" w:cs="宋体"/>
                <w:color w:val="auto"/>
                <w:sz w:val="24"/>
                <w:highlight w:val="none"/>
              </w:rPr>
              <w:t>仅接受</w:t>
            </w:r>
            <w:r>
              <w:rPr>
                <w:rFonts w:hint="eastAsia" w:ascii="宋体" w:hAnsi="宋体" w:cs="宋体"/>
                <w:color w:val="auto"/>
                <w:sz w:val="24"/>
                <w:highlight w:val="none"/>
                <w:lang w:val="en-US" w:eastAsia="zh-CN"/>
              </w:rPr>
              <w:t>现金</w:t>
            </w:r>
            <w:r>
              <w:rPr>
                <w:rFonts w:hint="eastAsia" w:ascii="宋体" w:hAnsi="宋体" w:cs="宋体"/>
                <w:color w:val="auto"/>
                <w:sz w:val="24"/>
                <w:highlight w:val="none"/>
              </w:rPr>
              <w:t>转账形式缴纳。</w:t>
            </w:r>
          </w:p>
          <w:p w14:paraId="105BBDCB">
            <w:pPr>
              <w:spacing w:line="400" w:lineRule="exact"/>
              <w:rPr>
                <w:rFonts w:hint="eastAsia" w:ascii="宋体" w:hAnsi="宋体" w:cs="宋体"/>
                <w:color w:val="auto"/>
                <w:sz w:val="24"/>
                <w:highlight w:val="none"/>
              </w:rPr>
            </w:pPr>
            <w:r>
              <w:rPr>
                <w:rFonts w:hint="eastAsia" w:ascii="宋体" w:hAnsi="宋体" w:cs="宋体"/>
                <w:color w:val="auto"/>
                <w:sz w:val="24"/>
                <w:highlight w:val="none"/>
                <w:lang w:val="en-US" w:eastAsia="zh-CN"/>
              </w:rPr>
              <w:t>比选</w:t>
            </w:r>
            <w:r>
              <w:rPr>
                <w:rFonts w:hint="eastAsia" w:ascii="宋体" w:hAnsi="宋体" w:cs="宋体"/>
                <w:color w:val="auto"/>
                <w:sz w:val="24"/>
                <w:highlight w:val="none"/>
              </w:rPr>
              <w:t>代理机构银行账户开户银行：</w:t>
            </w:r>
            <w:r>
              <w:rPr>
                <w:rFonts w:hint="eastAsia" w:ascii="宋体" w:hAnsi="宋体" w:cs="宋体"/>
                <w:color w:val="auto"/>
                <w:sz w:val="24"/>
                <w:highlight w:val="none"/>
                <w:lang w:val="en-US" w:eastAsia="zh-CN"/>
              </w:rPr>
              <w:t>中国工商银行南昌百花洲支行</w:t>
            </w:r>
            <w:r>
              <w:rPr>
                <w:rFonts w:hint="eastAsia" w:ascii="宋体" w:hAnsi="宋体" w:cs="宋体"/>
                <w:color w:val="auto"/>
                <w:sz w:val="24"/>
                <w:highlight w:val="none"/>
              </w:rPr>
              <w:t>；</w:t>
            </w:r>
          </w:p>
          <w:p w14:paraId="25A6E06E">
            <w:pPr>
              <w:spacing w:line="400" w:lineRule="exact"/>
              <w:rPr>
                <w:rFonts w:hint="eastAsia" w:ascii="宋体" w:hAnsi="宋体" w:cs="宋体"/>
                <w:color w:val="auto"/>
                <w:sz w:val="24"/>
                <w:highlight w:val="none"/>
              </w:rPr>
            </w:pPr>
            <w:r>
              <w:rPr>
                <w:rFonts w:hint="eastAsia" w:ascii="宋体" w:hAnsi="宋体" w:cs="宋体"/>
                <w:color w:val="auto"/>
                <w:sz w:val="24"/>
                <w:highlight w:val="none"/>
              </w:rPr>
              <w:t>银行账号：</w:t>
            </w:r>
            <w:r>
              <w:rPr>
                <w:rFonts w:hint="eastAsia" w:ascii="宋体" w:hAnsi="宋体" w:cs="宋体"/>
                <w:color w:val="auto"/>
                <w:sz w:val="24"/>
                <w:highlight w:val="none"/>
                <w:lang w:val="en-US" w:eastAsia="zh-CN"/>
              </w:rPr>
              <w:t>1502201009004710174</w:t>
            </w:r>
            <w:r>
              <w:rPr>
                <w:rFonts w:hint="eastAsia" w:ascii="宋体" w:hAnsi="宋体" w:cs="宋体"/>
                <w:color w:val="auto"/>
                <w:sz w:val="24"/>
                <w:highlight w:val="none"/>
              </w:rPr>
              <w:t>，</w:t>
            </w:r>
          </w:p>
          <w:p w14:paraId="28BAC28A">
            <w:pPr>
              <w:spacing w:line="400" w:lineRule="exact"/>
              <w:rPr>
                <w:rFonts w:hint="eastAsia" w:ascii="宋体" w:hAnsi="宋体" w:cs="宋体"/>
                <w:color w:val="auto"/>
                <w:sz w:val="24"/>
                <w:highlight w:val="none"/>
              </w:rPr>
            </w:pPr>
            <w:r>
              <w:rPr>
                <w:rFonts w:hint="eastAsia" w:ascii="宋体" w:hAnsi="宋体" w:cs="宋体"/>
                <w:color w:val="auto"/>
                <w:sz w:val="24"/>
                <w:highlight w:val="none"/>
              </w:rPr>
              <w:t>汇款请注明项目名称或项目编号“</w:t>
            </w:r>
            <w:r>
              <w:rPr>
                <w:rFonts w:hint="eastAsia" w:ascii="宋体" w:hAnsi="宋体"/>
                <w:color w:val="auto"/>
                <w:kern w:val="2"/>
                <w:sz w:val="24"/>
                <w:szCs w:val="24"/>
                <w:highlight w:val="none"/>
                <w:lang w:val="en-US" w:eastAsia="zh-CN"/>
              </w:rPr>
              <w:t xml:space="preserve">JXSTCZFCG-G2026023 </w:t>
            </w:r>
            <w:r>
              <w:rPr>
                <w:rFonts w:hint="eastAsia" w:ascii="宋体" w:hAnsi="宋体" w:cs="宋体"/>
                <w:color w:val="auto"/>
                <w:sz w:val="24"/>
                <w:highlight w:val="none"/>
              </w:rPr>
              <w:t>”保证金，参选保证金需从</w:t>
            </w:r>
            <w:r>
              <w:rPr>
                <w:rFonts w:hint="eastAsia" w:ascii="宋体" w:hAnsi="宋体" w:cs="宋体"/>
                <w:color w:val="auto"/>
                <w:sz w:val="24"/>
                <w:highlight w:val="none"/>
                <w:lang w:eastAsia="zh-CN"/>
              </w:rPr>
              <w:t>参选</w:t>
            </w:r>
            <w:r>
              <w:rPr>
                <w:rFonts w:hint="eastAsia" w:ascii="宋体" w:hAnsi="宋体" w:cs="宋体"/>
                <w:color w:val="auto"/>
                <w:sz w:val="24"/>
                <w:highlight w:val="none"/>
              </w:rPr>
              <w:t>公司账户转出。</w:t>
            </w:r>
          </w:p>
        </w:tc>
      </w:tr>
      <w:tr w14:paraId="64AE6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5" w:type="dxa"/>
            <w:noWrap w:val="0"/>
            <w:vAlign w:val="center"/>
          </w:tcPr>
          <w:p w14:paraId="19C525FB">
            <w:pP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9</w:t>
            </w:r>
          </w:p>
        </w:tc>
        <w:tc>
          <w:tcPr>
            <w:tcW w:w="8795" w:type="dxa"/>
            <w:noWrap w:val="0"/>
            <w:vAlign w:val="center"/>
          </w:tcPr>
          <w:p w14:paraId="6081BC97">
            <w:pPr>
              <w:spacing w:line="400" w:lineRule="exact"/>
              <w:rPr>
                <w:rFonts w:hint="eastAsia" w:ascii="宋体" w:hAnsi="宋体" w:cs="宋体"/>
                <w:color w:val="auto"/>
                <w:sz w:val="24"/>
                <w:highlight w:val="none"/>
              </w:rPr>
            </w:pPr>
            <w:r>
              <w:rPr>
                <w:rFonts w:hint="eastAsia" w:ascii="宋体" w:hAnsi="宋体" w:cs="宋体"/>
                <w:color w:val="auto"/>
                <w:sz w:val="24"/>
                <w:highlight w:val="none"/>
              </w:rPr>
              <w:t>不统一组织现场踏勘。有意向的参选人自行踏勘。</w:t>
            </w:r>
          </w:p>
        </w:tc>
      </w:tr>
      <w:tr w14:paraId="726FF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725" w:type="dxa"/>
            <w:noWrap w:val="0"/>
            <w:vAlign w:val="center"/>
          </w:tcPr>
          <w:p w14:paraId="649ABE6E">
            <w:pP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10</w:t>
            </w:r>
          </w:p>
        </w:tc>
        <w:tc>
          <w:tcPr>
            <w:tcW w:w="8795" w:type="dxa"/>
            <w:noWrap w:val="0"/>
            <w:vAlign w:val="center"/>
          </w:tcPr>
          <w:p w14:paraId="14B7E1AE">
            <w:pPr>
              <w:spacing w:line="400" w:lineRule="exact"/>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"mailto:不统一组织招标答疑会，投标人在收到招标文件后，若有疑问需要澄清，应于收到招标文件后5日内递交书面答疑材料（或扫描件发送至849690978@qq.com）"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不统一组织比选答疑会，参选人在收到比选文件后，若有疑问需要澄清，应于递交参选文件截止时间前以书面形式（加盖单位公章）递交答疑材料（或扫描件发送至</w:t>
            </w:r>
            <w:r>
              <w:rPr>
                <w:rFonts w:hint="eastAsia" w:ascii="宋体" w:hAnsi="宋体" w:cs="宋体"/>
                <w:color w:val="auto"/>
                <w:sz w:val="24"/>
                <w:highlight w:val="none"/>
                <w:lang w:val="en-US" w:eastAsia="zh-CN"/>
              </w:rPr>
              <w:t xml:space="preserve"> 794656060@qq.com</w:t>
            </w:r>
            <w:r>
              <w:rPr>
                <w:rFonts w:hint="eastAsia" w:ascii="宋体" w:hAnsi="宋体" w:cs="宋体"/>
                <w:color w:val="auto"/>
                <w:sz w:val="24"/>
                <w:highlight w:val="none"/>
              </w:rPr>
              <w:t>）</w:t>
            </w:r>
            <w:r>
              <w:rPr>
                <w:rFonts w:hint="eastAsia" w:ascii="宋体" w:hAnsi="宋体" w:cs="宋体"/>
                <w:color w:val="auto"/>
                <w:sz w:val="24"/>
                <w:highlight w:val="none"/>
              </w:rPr>
              <w:fldChar w:fldCharType="end"/>
            </w:r>
            <w:r>
              <w:rPr>
                <w:rFonts w:hint="eastAsia" w:ascii="宋体" w:hAnsi="宋体" w:cs="宋体"/>
                <w:color w:val="auto"/>
                <w:sz w:val="24"/>
                <w:highlight w:val="none"/>
              </w:rPr>
              <w:t>。比选人应以书面形式予以答复，并将书面答复发给已购买比选文件的所有参选人，逾期不予办理。</w:t>
            </w:r>
          </w:p>
        </w:tc>
      </w:tr>
      <w:tr w14:paraId="63D7A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25" w:type="dxa"/>
            <w:noWrap w:val="0"/>
            <w:vAlign w:val="center"/>
          </w:tcPr>
          <w:p w14:paraId="6614242F">
            <w:pP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11</w:t>
            </w:r>
          </w:p>
        </w:tc>
        <w:tc>
          <w:tcPr>
            <w:tcW w:w="8795" w:type="dxa"/>
            <w:noWrap w:val="0"/>
            <w:vAlign w:val="center"/>
          </w:tcPr>
          <w:p w14:paraId="662CA800">
            <w:pPr>
              <w:autoSpaceDE w:val="0"/>
              <w:autoSpaceDN w:val="0"/>
              <w:adjustRightInd w:val="0"/>
              <w:snapToGrid w:val="0"/>
              <w:spacing w:line="400" w:lineRule="exact"/>
              <w:ind w:left="-51"/>
              <w:textAlignment w:val="bottom"/>
              <w:rPr>
                <w:rFonts w:hint="eastAsia" w:ascii="宋体" w:hAnsi="宋体" w:cs="宋体"/>
                <w:color w:val="auto"/>
                <w:sz w:val="24"/>
                <w:highlight w:val="none"/>
              </w:rPr>
            </w:pPr>
            <w:r>
              <w:rPr>
                <w:rFonts w:hint="eastAsia" w:ascii="宋体" w:hAnsi="宋体" w:cs="宋体"/>
                <w:color w:val="auto"/>
                <w:sz w:val="24"/>
                <w:highlight w:val="none"/>
              </w:rPr>
              <w:t>递交参选文件截止时间：详见“第一章 比选公告</w:t>
            </w:r>
            <w:r>
              <w:rPr>
                <w:rFonts w:hint="eastAsia" w:ascii="宋体" w:hAnsi="宋体" w:cs="宋体"/>
                <w:color w:val="auto"/>
                <w:kern w:val="0"/>
                <w:sz w:val="24"/>
                <w:highlight w:val="none"/>
              </w:rPr>
              <w:t>”</w:t>
            </w:r>
          </w:p>
        </w:tc>
      </w:tr>
      <w:tr w14:paraId="6EE85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725" w:type="dxa"/>
            <w:noWrap w:val="0"/>
            <w:vAlign w:val="center"/>
          </w:tcPr>
          <w:p w14:paraId="4F87A594">
            <w:pP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12</w:t>
            </w:r>
          </w:p>
        </w:tc>
        <w:tc>
          <w:tcPr>
            <w:tcW w:w="8795" w:type="dxa"/>
            <w:noWrap w:val="0"/>
            <w:vAlign w:val="center"/>
          </w:tcPr>
          <w:p w14:paraId="786E7895">
            <w:pPr>
              <w:autoSpaceDE w:val="0"/>
              <w:autoSpaceDN w:val="0"/>
              <w:adjustRightInd w:val="0"/>
              <w:snapToGrid w:val="0"/>
              <w:spacing w:line="400" w:lineRule="exact"/>
              <w:ind w:left="-51"/>
              <w:textAlignment w:val="bottom"/>
              <w:rPr>
                <w:rFonts w:hint="eastAsia" w:ascii="宋体" w:hAnsi="宋体" w:cs="宋体"/>
                <w:color w:val="auto"/>
                <w:sz w:val="24"/>
                <w:highlight w:val="none"/>
              </w:rPr>
            </w:pPr>
            <w:r>
              <w:rPr>
                <w:rFonts w:hint="eastAsia" w:ascii="宋体" w:hAnsi="宋体" w:cs="宋体"/>
                <w:color w:val="auto"/>
                <w:sz w:val="24"/>
                <w:highlight w:val="none"/>
              </w:rPr>
              <w:t>比选时间及地点：详见“第一章 比选公告</w:t>
            </w:r>
            <w:r>
              <w:rPr>
                <w:rFonts w:hint="eastAsia" w:ascii="宋体" w:hAnsi="宋体" w:cs="宋体"/>
                <w:color w:val="auto"/>
                <w:kern w:val="0"/>
                <w:sz w:val="24"/>
                <w:highlight w:val="none"/>
              </w:rPr>
              <w:t>”</w:t>
            </w:r>
          </w:p>
        </w:tc>
      </w:tr>
      <w:tr w14:paraId="2E586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725" w:type="dxa"/>
            <w:noWrap w:val="0"/>
            <w:vAlign w:val="center"/>
          </w:tcPr>
          <w:p w14:paraId="6ECFBA19">
            <w:pP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13</w:t>
            </w:r>
          </w:p>
        </w:tc>
        <w:tc>
          <w:tcPr>
            <w:tcW w:w="8795" w:type="dxa"/>
            <w:noWrap w:val="0"/>
            <w:vAlign w:val="center"/>
          </w:tcPr>
          <w:p w14:paraId="2AD9C266">
            <w:pPr>
              <w:spacing w:line="400" w:lineRule="exact"/>
              <w:rPr>
                <w:rFonts w:hint="eastAsia" w:ascii="宋体" w:hAnsi="宋体" w:cs="宋体"/>
                <w:bCs/>
                <w:color w:val="auto"/>
                <w:sz w:val="24"/>
                <w:highlight w:val="none"/>
              </w:rPr>
            </w:pPr>
            <w:r>
              <w:rPr>
                <w:rFonts w:hint="eastAsia" w:ascii="宋体" w:hAnsi="宋体" w:cs="宋体"/>
                <w:color w:val="auto"/>
                <w:sz w:val="24"/>
                <w:highlight w:val="none"/>
              </w:rPr>
              <w:t>参选人应确保资格证明文件的真实性、有效性及合法性，否则，由此引起的任何责任都由参选人自行承担。</w:t>
            </w:r>
          </w:p>
        </w:tc>
      </w:tr>
      <w:tr w14:paraId="3443A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25" w:type="dxa"/>
            <w:noWrap w:val="0"/>
            <w:vAlign w:val="center"/>
          </w:tcPr>
          <w:p w14:paraId="327E2042">
            <w:pP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14</w:t>
            </w:r>
          </w:p>
        </w:tc>
        <w:tc>
          <w:tcPr>
            <w:tcW w:w="8795" w:type="dxa"/>
            <w:noWrap w:val="0"/>
            <w:vAlign w:val="center"/>
          </w:tcPr>
          <w:p w14:paraId="5BB9D538">
            <w:pPr>
              <w:spacing w:line="400" w:lineRule="exact"/>
              <w:rPr>
                <w:rFonts w:hint="eastAsia" w:ascii="宋体" w:hAnsi="宋体" w:cs="宋体"/>
                <w:bCs/>
                <w:color w:val="auto"/>
                <w:sz w:val="24"/>
                <w:highlight w:val="none"/>
              </w:rPr>
            </w:pPr>
            <w:r>
              <w:rPr>
                <w:rFonts w:hint="eastAsia" w:ascii="宋体" w:hAnsi="宋体" w:cs="宋体"/>
                <w:bCs/>
                <w:color w:val="auto"/>
                <w:sz w:val="24"/>
                <w:highlight w:val="none"/>
              </w:rPr>
              <w:t>参选人如有提供虚假材料、恶意竞争，经查实，比选人将取消其</w:t>
            </w:r>
            <w:r>
              <w:rPr>
                <w:rFonts w:hint="eastAsia" w:ascii="宋体" w:hAnsi="宋体" w:cs="宋体"/>
                <w:color w:val="auto"/>
                <w:sz w:val="24"/>
                <w:highlight w:val="none"/>
              </w:rPr>
              <w:t>参选</w:t>
            </w:r>
            <w:r>
              <w:rPr>
                <w:rFonts w:hint="eastAsia" w:ascii="宋体" w:hAnsi="宋体" w:cs="宋体"/>
                <w:bCs/>
                <w:color w:val="auto"/>
                <w:sz w:val="24"/>
                <w:highlight w:val="none"/>
              </w:rPr>
              <w:t>资格，并保留追究法律责任的权利。中选单位未在规定的时间内与比选人签订合同等行为，比选人将取消其中选资格，并保留追究法律责任的权利。</w:t>
            </w:r>
          </w:p>
        </w:tc>
      </w:tr>
      <w:tr w14:paraId="02C46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725" w:type="dxa"/>
            <w:noWrap w:val="0"/>
            <w:vAlign w:val="center"/>
          </w:tcPr>
          <w:p w14:paraId="348E607E">
            <w:pP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15</w:t>
            </w:r>
          </w:p>
        </w:tc>
        <w:tc>
          <w:tcPr>
            <w:tcW w:w="8795" w:type="dxa"/>
            <w:noWrap w:val="0"/>
            <w:vAlign w:val="center"/>
          </w:tcPr>
          <w:p w14:paraId="1D7A0755">
            <w:pPr>
              <w:spacing w:line="400" w:lineRule="exact"/>
              <w:rPr>
                <w:rFonts w:hint="eastAsia" w:ascii="宋体" w:hAnsi="宋体" w:cs="宋体"/>
                <w:bCs/>
                <w:color w:val="auto"/>
                <w:sz w:val="24"/>
                <w:highlight w:val="none"/>
              </w:rPr>
            </w:pPr>
            <w:r>
              <w:rPr>
                <w:rFonts w:hint="eastAsia" w:ascii="宋体" w:hAnsi="宋体" w:cs="宋体"/>
                <w:bCs/>
                <w:color w:val="auto"/>
                <w:sz w:val="24"/>
                <w:highlight w:val="none"/>
                <w:lang w:val="en-US" w:eastAsia="zh-CN"/>
              </w:rPr>
              <w:t>比选代理服务费用执行“发改价格[2011]534号”标准按4.9折下浮8%且上限为5万元，全部由中选人支付，中选人在领取成交通知书时一次性支付给代理机构。</w:t>
            </w:r>
          </w:p>
        </w:tc>
      </w:tr>
      <w:tr w14:paraId="432D8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725" w:type="dxa"/>
            <w:noWrap w:val="0"/>
            <w:vAlign w:val="center"/>
          </w:tcPr>
          <w:p w14:paraId="2E316458">
            <w:pP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16</w:t>
            </w:r>
          </w:p>
        </w:tc>
        <w:tc>
          <w:tcPr>
            <w:tcW w:w="8795" w:type="dxa"/>
            <w:noWrap w:val="0"/>
            <w:vAlign w:val="center"/>
          </w:tcPr>
          <w:p w14:paraId="4D232B7A">
            <w:pPr>
              <w:spacing w:line="400" w:lineRule="exact"/>
              <w:rPr>
                <w:rFonts w:hint="eastAsia" w:ascii="宋体" w:hAnsi="宋体" w:cs="宋体"/>
                <w:bCs/>
                <w:color w:val="auto"/>
                <w:sz w:val="24"/>
                <w:highlight w:val="none"/>
              </w:rPr>
            </w:pPr>
            <w:r>
              <w:rPr>
                <w:rFonts w:hint="eastAsia" w:ascii="宋体" w:hAnsi="宋体" w:cs="宋体"/>
                <w:bCs/>
                <w:color w:val="auto"/>
                <w:sz w:val="24"/>
                <w:highlight w:val="none"/>
              </w:rPr>
              <w:t>参选文件份数：正本壹份，副本贰份。</w:t>
            </w:r>
          </w:p>
        </w:tc>
      </w:tr>
    </w:tbl>
    <w:p w14:paraId="2E19F7E1">
      <w:pPr>
        <w:pStyle w:val="2"/>
        <w:bidi w:val="0"/>
        <w:rPr>
          <w:rFonts w:hint="eastAsia" w:ascii="宋体" w:hAnsi="宋体" w:eastAsia="宋体" w:cs="宋体"/>
          <w:color w:val="auto"/>
          <w:highlight w:val="none"/>
          <w:lang w:val="en-US" w:eastAsia="zh-CN"/>
        </w:rPr>
      </w:pPr>
      <w:r>
        <w:rPr>
          <w:rFonts w:hint="eastAsia" w:ascii="宋体" w:hAnsi="宋体" w:cs="宋体"/>
          <w:color w:val="auto"/>
          <w:highlight w:val="none"/>
        </w:rPr>
        <w:br w:type="page"/>
      </w:r>
      <w:bookmarkStart w:id="22" w:name="_Toc16054"/>
      <w:r>
        <w:rPr>
          <w:rFonts w:hint="eastAsia"/>
          <w:color w:val="auto"/>
          <w:highlight w:val="none"/>
          <w:lang w:val="en-US" w:eastAsia="zh-CN"/>
        </w:rPr>
        <w:t>第三章</w:t>
      </w:r>
      <w:r>
        <w:rPr>
          <w:rFonts w:hint="eastAsia"/>
          <w:color w:val="auto"/>
          <w:highlight w:val="none"/>
        </w:rPr>
        <w:t>、参选人须知</w:t>
      </w:r>
      <w:r>
        <w:rPr>
          <w:rFonts w:hint="eastAsia"/>
          <w:color w:val="auto"/>
          <w:highlight w:val="none"/>
          <w:lang w:val="en-US" w:eastAsia="zh-CN"/>
        </w:rPr>
        <w:t>正文</w:t>
      </w:r>
      <w:bookmarkEnd w:id="22"/>
    </w:p>
    <w:p w14:paraId="694B7A12">
      <w:pPr>
        <w:pStyle w:val="21"/>
        <w:jc w:val="center"/>
        <w:rPr>
          <w:rFonts w:hint="eastAsia" w:hAnsi="宋体" w:cs="宋体"/>
          <w:color w:val="auto"/>
          <w:sz w:val="24"/>
          <w:szCs w:val="24"/>
          <w:highlight w:val="none"/>
        </w:rPr>
      </w:pPr>
      <w:bookmarkStart w:id="23" w:name="_Toc377982317"/>
      <w:bookmarkStart w:id="24" w:name="_Toc17175"/>
      <w:bookmarkStart w:id="25" w:name="_Toc31761"/>
      <w:bookmarkStart w:id="26" w:name="_Toc147282124"/>
      <w:bookmarkStart w:id="27" w:name="_Toc324678925"/>
      <w:r>
        <w:rPr>
          <w:rFonts w:hint="eastAsia" w:hAnsi="宋体" w:cs="宋体"/>
          <w:color w:val="auto"/>
          <w:sz w:val="24"/>
          <w:szCs w:val="24"/>
          <w:highlight w:val="none"/>
        </w:rPr>
        <w:t>（一）总  则</w:t>
      </w:r>
      <w:bookmarkEnd w:id="23"/>
      <w:bookmarkEnd w:id="24"/>
      <w:bookmarkEnd w:id="25"/>
      <w:bookmarkEnd w:id="26"/>
      <w:bookmarkEnd w:id="27"/>
    </w:p>
    <w:p w14:paraId="46E4CE63">
      <w:pPr>
        <w:pStyle w:val="21"/>
        <w:rPr>
          <w:rFonts w:hint="eastAsia" w:hAnsi="宋体" w:cs="宋体"/>
          <w:bCs w:val="0"/>
          <w:color w:val="auto"/>
          <w:kern w:val="2"/>
          <w:sz w:val="24"/>
          <w:szCs w:val="24"/>
          <w:highlight w:val="none"/>
        </w:rPr>
      </w:pPr>
      <w:bookmarkStart w:id="28" w:name="_Toc10892"/>
      <w:r>
        <w:rPr>
          <w:rFonts w:hint="eastAsia" w:hAnsi="宋体" w:cs="宋体"/>
          <w:bCs w:val="0"/>
          <w:color w:val="auto"/>
          <w:kern w:val="2"/>
          <w:sz w:val="24"/>
          <w:szCs w:val="24"/>
          <w:highlight w:val="none"/>
        </w:rPr>
        <w:t>1、适用范围</w:t>
      </w:r>
      <w:bookmarkEnd w:id="28"/>
    </w:p>
    <w:p w14:paraId="0AF9F8C9">
      <w:pPr>
        <w:pStyle w:val="21"/>
        <w:rPr>
          <w:rFonts w:hint="eastAsia" w:hAnsi="宋体" w:cs="宋体"/>
          <w:bCs w:val="0"/>
          <w:color w:val="auto"/>
          <w:kern w:val="2"/>
          <w:sz w:val="24"/>
          <w:szCs w:val="24"/>
          <w:highlight w:val="none"/>
        </w:rPr>
      </w:pPr>
      <w:r>
        <w:rPr>
          <w:rFonts w:hint="eastAsia" w:hAnsi="宋体" w:cs="宋体"/>
          <w:bCs w:val="0"/>
          <w:color w:val="auto"/>
          <w:kern w:val="2"/>
          <w:sz w:val="24"/>
          <w:szCs w:val="24"/>
          <w:highlight w:val="none"/>
        </w:rPr>
        <w:t>1.1本综合比选文件仅适用于本项目。</w:t>
      </w:r>
    </w:p>
    <w:p w14:paraId="268F28B6">
      <w:pPr>
        <w:pStyle w:val="21"/>
        <w:rPr>
          <w:rFonts w:hint="eastAsia" w:hAnsi="宋体" w:cs="宋体"/>
          <w:bCs w:val="0"/>
          <w:color w:val="auto"/>
          <w:kern w:val="2"/>
          <w:sz w:val="24"/>
          <w:szCs w:val="24"/>
          <w:highlight w:val="none"/>
        </w:rPr>
      </w:pPr>
      <w:bookmarkStart w:id="29" w:name="_Toc21006"/>
      <w:bookmarkStart w:id="30" w:name="_Toc377982318"/>
      <w:bookmarkStart w:id="31" w:name="_Toc324678926"/>
      <w:bookmarkStart w:id="32" w:name="_Toc17484"/>
      <w:r>
        <w:rPr>
          <w:rFonts w:hint="eastAsia" w:hAnsi="宋体" w:cs="宋体"/>
          <w:bCs w:val="0"/>
          <w:color w:val="auto"/>
          <w:kern w:val="2"/>
          <w:sz w:val="24"/>
          <w:szCs w:val="24"/>
          <w:highlight w:val="none"/>
        </w:rPr>
        <w:t>2、定义</w:t>
      </w:r>
      <w:bookmarkEnd w:id="29"/>
    </w:p>
    <w:p w14:paraId="45F2782F">
      <w:pPr>
        <w:pStyle w:val="21"/>
        <w:rPr>
          <w:rFonts w:hint="eastAsia" w:hAnsi="宋体" w:cs="宋体"/>
          <w:bCs w:val="0"/>
          <w:color w:val="auto"/>
          <w:kern w:val="2"/>
          <w:sz w:val="24"/>
          <w:szCs w:val="24"/>
          <w:highlight w:val="none"/>
        </w:rPr>
      </w:pPr>
      <w:r>
        <w:rPr>
          <w:rFonts w:hint="eastAsia" w:hAnsi="宋体" w:cs="宋体"/>
          <w:bCs w:val="0"/>
          <w:color w:val="auto"/>
          <w:kern w:val="2"/>
          <w:sz w:val="24"/>
          <w:szCs w:val="24"/>
          <w:highlight w:val="none"/>
        </w:rPr>
        <w:t>2.1比选人：详见“参选人须知前附表”</w:t>
      </w:r>
    </w:p>
    <w:p w14:paraId="5E976226">
      <w:pPr>
        <w:pStyle w:val="21"/>
        <w:rPr>
          <w:rFonts w:hint="eastAsia" w:hAnsi="宋体" w:eastAsia="宋体" w:cs="宋体"/>
          <w:bCs w:val="0"/>
          <w:color w:val="auto"/>
          <w:kern w:val="2"/>
          <w:sz w:val="24"/>
          <w:szCs w:val="24"/>
          <w:highlight w:val="none"/>
          <w:lang w:eastAsia="zh-CN"/>
        </w:rPr>
      </w:pPr>
      <w:r>
        <w:rPr>
          <w:rFonts w:hint="eastAsia" w:hAnsi="宋体" w:cs="宋体"/>
          <w:bCs w:val="0"/>
          <w:color w:val="auto"/>
          <w:kern w:val="2"/>
          <w:sz w:val="24"/>
          <w:szCs w:val="24"/>
          <w:highlight w:val="none"/>
        </w:rPr>
        <w:t>2.2代理机构：</w:t>
      </w:r>
      <w:r>
        <w:rPr>
          <w:rFonts w:hint="eastAsia" w:hAnsi="宋体" w:cs="宋体"/>
          <w:bCs w:val="0"/>
          <w:color w:val="auto"/>
          <w:kern w:val="2"/>
          <w:sz w:val="24"/>
          <w:szCs w:val="24"/>
          <w:highlight w:val="none"/>
          <w:lang w:eastAsia="zh-CN"/>
        </w:rPr>
        <w:t>江西省天铖招投标咨询有限公司</w:t>
      </w:r>
    </w:p>
    <w:p w14:paraId="5F32A46B">
      <w:pPr>
        <w:pStyle w:val="21"/>
        <w:rPr>
          <w:rFonts w:hint="eastAsia" w:hAnsi="宋体" w:cs="宋体"/>
          <w:bCs w:val="0"/>
          <w:color w:val="auto"/>
          <w:kern w:val="2"/>
          <w:sz w:val="24"/>
          <w:szCs w:val="24"/>
          <w:highlight w:val="none"/>
        </w:rPr>
      </w:pPr>
      <w:r>
        <w:rPr>
          <w:rFonts w:hint="eastAsia" w:hAnsi="宋体" w:cs="宋体"/>
          <w:bCs w:val="0"/>
          <w:color w:val="auto"/>
          <w:kern w:val="2"/>
          <w:sz w:val="24"/>
          <w:szCs w:val="24"/>
          <w:highlight w:val="none"/>
        </w:rPr>
        <w:t>2.3参选人：是指响应比选、参加</w:t>
      </w:r>
      <w:r>
        <w:rPr>
          <w:rFonts w:hint="eastAsia" w:hAnsi="宋体" w:cs="宋体"/>
          <w:bCs w:val="0"/>
          <w:color w:val="auto"/>
          <w:kern w:val="2"/>
          <w:sz w:val="24"/>
          <w:szCs w:val="24"/>
          <w:highlight w:val="none"/>
          <w:lang w:val="en-US" w:eastAsia="zh-CN"/>
        </w:rPr>
        <w:t>比选</w:t>
      </w:r>
      <w:r>
        <w:rPr>
          <w:rFonts w:hint="eastAsia" w:hAnsi="宋体" w:cs="宋体"/>
          <w:bCs w:val="0"/>
          <w:color w:val="auto"/>
          <w:kern w:val="2"/>
          <w:sz w:val="24"/>
          <w:szCs w:val="24"/>
          <w:highlight w:val="none"/>
        </w:rPr>
        <w:t>（竞租）竞争的法人、其他组织。</w:t>
      </w:r>
    </w:p>
    <w:p w14:paraId="48DE2802">
      <w:pPr>
        <w:pStyle w:val="21"/>
        <w:rPr>
          <w:rFonts w:hint="eastAsia" w:hAnsi="宋体" w:cs="宋体"/>
          <w:bCs w:val="0"/>
          <w:color w:val="auto"/>
          <w:kern w:val="2"/>
          <w:sz w:val="24"/>
          <w:szCs w:val="24"/>
          <w:highlight w:val="none"/>
        </w:rPr>
      </w:pPr>
      <w:bookmarkStart w:id="33" w:name="_Toc29589"/>
      <w:r>
        <w:rPr>
          <w:rFonts w:hint="eastAsia" w:hAnsi="宋体" w:cs="宋体"/>
          <w:bCs w:val="0"/>
          <w:color w:val="auto"/>
          <w:kern w:val="2"/>
          <w:sz w:val="24"/>
          <w:szCs w:val="24"/>
          <w:highlight w:val="none"/>
        </w:rPr>
        <w:t>3、比选方式</w:t>
      </w:r>
      <w:bookmarkEnd w:id="30"/>
      <w:bookmarkEnd w:id="31"/>
      <w:bookmarkEnd w:id="32"/>
      <w:bookmarkEnd w:id="33"/>
    </w:p>
    <w:p w14:paraId="1929F24E">
      <w:pPr>
        <w:pStyle w:val="21"/>
        <w:rPr>
          <w:rFonts w:hint="eastAsia" w:hAnsi="宋体" w:cs="宋体"/>
          <w:bCs w:val="0"/>
          <w:color w:val="auto"/>
          <w:kern w:val="2"/>
          <w:sz w:val="24"/>
          <w:szCs w:val="24"/>
          <w:highlight w:val="none"/>
        </w:rPr>
      </w:pPr>
      <w:r>
        <w:rPr>
          <w:rFonts w:hint="eastAsia" w:hAnsi="宋体" w:cs="宋体"/>
          <w:bCs w:val="0"/>
          <w:color w:val="auto"/>
          <w:kern w:val="2"/>
          <w:sz w:val="24"/>
          <w:szCs w:val="24"/>
          <w:highlight w:val="none"/>
        </w:rPr>
        <w:t>3.1本次比选采取</w:t>
      </w:r>
      <w:r>
        <w:rPr>
          <w:rFonts w:hint="eastAsia" w:hAnsi="宋体" w:cs="宋体"/>
          <w:bCs w:val="0"/>
          <w:color w:val="auto"/>
          <w:kern w:val="2"/>
          <w:sz w:val="24"/>
          <w:szCs w:val="24"/>
          <w:highlight w:val="none"/>
          <w:u w:val="single"/>
        </w:rPr>
        <w:t xml:space="preserve"> 公开综合比选 </w:t>
      </w:r>
      <w:r>
        <w:rPr>
          <w:rFonts w:hint="eastAsia" w:hAnsi="宋体" w:cs="宋体"/>
          <w:bCs w:val="0"/>
          <w:color w:val="auto"/>
          <w:kern w:val="2"/>
          <w:sz w:val="24"/>
          <w:szCs w:val="24"/>
          <w:highlight w:val="none"/>
        </w:rPr>
        <w:t>方式。</w:t>
      </w:r>
    </w:p>
    <w:p w14:paraId="00892633">
      <w:pPr>
        <w:pStyle w:val="21"/>
        <w:rPr>
          <w:rFonts w:hint="eastAsia" w:hAnsi="宋体" w:cs="宋体"/>
          <w:bCs w:val="0"/>
          <w:color w:val="auto"/>
          <w:kern w:val="2"/>
          <w:sz w:val="24"/>
          <w:szCs w:val="24"/>
          <w:highlight w:val="none"/>
        </w:rPr>
      </w:pPr>
      <w:bookmarkStart w:id="34" w:name="_Toc324678927"/>
      <w:bookmarkStart w:id="35" w:name="_Toc8266"/>
      <w:bookmarkStart w:id="36" w:name="_Toc29126"/>
      <w:bookmarkStart w:id="37" w:name="_Toc377982319"/>
      <w:r>
        <w:rPr>
          <w:rFonts w:hint="eastAsia" w:hAnsi="宋体" w:cs="宋体"/>
          <w:bCs w:val="0"/>
          <w:color w:val="auto"/>
          <w:kern w:val="2"/>
          <w:sz w:val="24"/>
          <w:szCs w:val="24"/>
          <w:highlight w:val="none"/>
        </w:rPr>
        <w:t>4、参选费用</w:t>
      </w:r>
      <w:bookmarkEnd w:id="34"/>
      <w:bookmarkEnd w:id="35"/>
      <w:bookmarkEnd w:id="36"/>
      <w:bookmarkEnd w:id="37"/>
    </w:p>
    <w:p w14:paraId="06A69FAD">
      <w:pPr>
        <w:pStyle w:val="21"/>
        <w:rPr>
          <w:rFonts w:hint="eastAsia" w:hAnsi="宋体" w:cs="宋体"/>
          <w:bCs w:val="0"/>
          <w:color w:val="auto"/>
          <w:kern w:val="2"/>
          <w:sz w:val="24"/>
          <w:szCs w:val="24"/>
          <w:highlight w:val="none"/>
        </w:rPr>
      </w:pPr>
      <w:r>
        <w:rPr>
          <w:rFonts w:hint="eastAsia" w:hAnsi="宋体" w:cs="宋体"/>
          <w:bCs w:val="0"/>
          <w:color w:val="auto"/>
          <w:kern w:val="2"/>
          <w:sz w:val="24"/>
          <w:szCs w:val="24"/>
          <w:highlight w:val="none"/>
        </w:rPr>
        <w:t>4.1</w:t>
      </w:r>
      <w:bookmarkStart w:id="38" w:name="_Toc324678928"/>
      <w:bookmarkStart w:id="39" w:name="_Toc31219"/>
      <w:bookmarkStart w:id="40" w:name="_Toc377982320"/>
      <w:r>
        <w:rPr>
          <w:rFonts w:hint="eastAsia" w:hAnsi="宋体" w:cs="宋体"/>
          <w:bCs w:val="0"/>
          <w:color w:val="auto"/>
          <w:kern w:val="2"/>
          <w:sz w:val="24"/>
          <w:szCs w:val="24"/>
          <w:highlight w:val="none"/>
        </w:rPr>
        <w:t>参选人应自行承担所有与准备和参加</w:t>
      </w:r>
      <w:r>
        <w:rPr>
          <w:rFonts w:hint="eastAsia" w:hAnsi="宋体" w:cs="宋体"/>
          <w:bCs w:val="0"/>
          <w:color w:val="auto"/>
          <w:kern w:val="2"/>
          <w:sz w:val="24"/>
          <w:szCs w:val="24"/>
          <w:highlight w:val="none"/>
          <w:lang w:val="en-US" w:eastAsia="zh-CN"/>
        </w:rPr>
        <w:t>比选</w:t>
      </w:r>
      <w:r>
        <w:rPr>
          <w:rFonts w:hint="eastAsia" w:hAnsi="宋体" w:cs="宋体"/>
          <w:bCs w:val="0"/>
          <w:color w:val="auto"/>
          <w:kern w:val="2"/>
          <w:sz w:val="24"/>
          <w:szCs w:val="24"/>
          <w:highlight w:val="none"/>
        </w:rPr>
        <w:t>（竞租）有关的全部费用。不论参选（竞租）的结果如何，比选代理机构均无义务和责任承担这些费用。</w:t>
      </w:r>
    </w:p>
    <w:p w14:paraId="2CD70164">
      <w:pPr>
        <w:pStyle w:val="21"/>
        <w:rPr>
          <w:rFonts w:hint="eastAsia" w:hAnsi="宋体" w:cs="宋体"/>
          <w:bCs w:val="0"/>
          <w:color w:val="auto"/>
          <w:kern w:val="2"/>
          <w:sz w:val="24"/>
          <w:szCs w:val="24"/>
          <w:highlight w:val="none"/>
        </w:rPr>
      </w:pPr>
      <w:bookmarkStart w:id="41" w:name="_Toc3601"/>
      <w:r>
        <w:rPr>
          <w:rFonts w:hint="eastAsia" w:hAnsi="宋体" w:cs="宋体"/>
          <w:bCs w:val="0"/>
          <w:color w:val="auto"/>
          <w:kern w:val="2"/>
          <w:sz w:val="24"/>
          <w:szCs w:val="24"/>
          <w:highlight w:val="none"/>
        </w:rPr>
        <w:t>5、合格的</w:t>
      </w:r>
      <w:bookmarkEnd w:id="38"/>
      <w:bookmarkEnd w:id="39"/>
      <w:bookmarkEnd w:id="40"/>
      <w:bookmarkEnd w:id="41"/>
      <w:r>
        <w:rPr>
          <w:rFonts w:hint="eastAsia" w:hAnsi="宋体" w:cs="宋体"/>
          <w:bCs w:val="0"/>
          <w:color w:val="auto"/>
          <w:kern w:val="2"/>
          <w:sz w:val="24"/>
          <w:szCs w:val="24"/>
          <w:highlight w:val="none"/>
        </w:rPr>
        <w:t>参选人</w:t>
      </w:r>
    </w:p>
    <w:p w14:paraId="7E5FE12D">
      <w:pPr>
        <w:pStyle w:val="21"/>
        <w:rPr>
          <w:rFonts w:hint="eastAsia" w:hAnsi="宋体" w:cs="宋体"/>
          <w:bCs w:val="0"/>
          <w:color w:val="auto"/>
          <w:kern w:val="2"/>
          <w:sz w:val="24"/>
          <w:szCs w:val="24"/>
          <w:highlight w:val="none"/>
        </w:rPr>
      </w:pPr>
      <w:r>
        <w:rPr>
          <w:rFonts w:hint="eastAsia" w:hAnsi="宋体" w:cs="宋体"/>
          <w:bCs w:val="0"/>
          <w:color w:val="auto"/>
          <w:kern w:val="2"/>
          <w:sz w:val="24"/>
          <w:szCs w:val="24"/>
          <w:highlight w:val="none"/>
        </w:rPr>
        <w:t>5.1详见参选邀请中“</w:t>
      </w:r>
      <w:r>
        <w:rPr>
          <w:rFonts w:hint="eastAsia" w:hAnsi="宋体" w:cs="宋体"/>
          <w:b w:val="0"/>
          <w:bCs w:val="0"/>
          <w:color w:val="auto"/>
          <w:sz w:val="24"/>
          <w:szCs w:val="24"/>
          <w:highlight w:val="none"/>
        </w:rPr>
        <w:t>参选人的资格要求</w:t>
      </w:r>
      <w:r>
        <w:rPr>
          <w:rFonts w:hint="eastAsia" w:hAnsi="宋体" w:cs="宋体"/>
          <w:bCs w:val="0"/>
          <w:color w:val="auto"/>
          <w:kern w:val="2"/>
          <w:sz w:val="24"/>
          <w:szCs w:val="24"/>
          <w:highlight w:val="none"/>
        </w:rPr>
        <w:t>”。</w:t>
      </w:r>
    </w:p>
    <w:p w14:paraId="072EA7AD">
      <w:pPr>
        <w:pStyle w:val="13"/>
        <w:numPr>
          <w:ilvl w:val="0"/>
          <w:numId w:val="3"/>
        </w:numPr>
        <w:spacing w:before="0" w:after="0" w:line="520" w:lineRule="exact"/>
        <w:ind w:firstLine="0"/>
        <w:rPr>
          <w:rFonts w:hint="eastAsia" w:ascii="宋体" w:hAnsi="宋体"/>
          <w:b/>
          <w:color w:val="auto"/>
          <w:sz w:val="24"/>
          <w:szCs w:val="24"/>
          <w:highlight w:val="none"/>
        </w:rPr>
      </w:pPr>
      <w:r>
        <w:rPr>
          <w:rFonts w:hint="eastAsia" w:ascii="宋体" w:hAnsi="宋体"/>
          <w:b/>
          <w:color w:val="auto"/>
          <w:sz w:val="24"/>
          <w:szCs w:val="24"/>
          <w:highlight w:val="none"/>
        </w:rPr>
        <w:t>参选文件组成：详见“参选文件格式”。</w:t>
      </w:r>
    </w:p>
    <w:p w14:paraId="27E8FCD0">
      <w:pPr>
        <w:pStyle w:val="13"/>
        <w:spacing w:before="0" w:after="0" w:line="520" w:lineRule="exact"/>
        <w:ind w:firstLine="0"/>
        <w:rPr>
          <w:rFonts w:hint="eastAsia" w:ascii="宋体" w:hAnsi="宋体"/>
          <w:b/>
          <w:color w:val="auto"/>
          <w:sz w:val="24"/>
          <w:szCs w:val="24"/>
          <w:highlight w:val="none"/>
        </w:rPr>
      </w:pPr>
      <w:r>
        <w:rPr>
          <w:rFonts w:hint="eastAsia" w:ascii="宋体" w:hAnsi="宋体"/>
          <w:b/>
          <w:color w:val="auto"/>
          <w:sz w:val="24"/>
          <w:szCs w:val="24"/>
          <w:highlight w:val="none"/>
        </w:rPr>
        <w:t>7、参选文件份数及密封要求</w:t>
      </w:r>
    </w:p>
    <w:p w14:paraId="080B1E42">
      <w:pPr>
        <w:spacing w:line="52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参选文件：正本壹份，副本</w:t>
      </w:r>
      <w:r>
        <w:rPr>
          <w:rFonts w:hint="eastAsia" w:ascii="宋体" w:hAnsi="宋体" w:cs="宋体"/>
          <w:bCs/>
          <w:color w:val="auto"/>
          <w:sz w:val="24"/>
          <w:highlight w:val="none"/>
        </w:rPr>
        <w:t>贰</w:t>
      </w:r>
      <w:r>
        <w:rPr>
          <w:rFonts w:hint="eastAsia" w:ascii="宋体" w:hAnsi="宋体" w:cs="宋体"/>
          <w:color w:val="auto"/>
          <w:sz w:val="24"/>
          <w:highlight w:val="none"/>
        </w:rPr>
        <w:t>份。须装在密封袋内，并密封完好，在密封处加盖参选单位公章，封皮上注明项目名称、项目编号、参选人名称、地址、电话、联系人，并注明“参选时启封”字样，未按上述要求提交的参选文件，比选人或代理机构有权拒收。</w:t>
      </w:r>
    </w:p>
    <w:p w14:paraId="2AB495CC">
      <w:pPr>
        <w:spacing w:line="520" w:lineRule="exact"/>
        <w:rPr>
          <w:rFonts w:hint="eastAsia" w:ascii="宋体" w:hAnsi="宋体" w:cs="宋体"/>
          <w:b/>
          <w:color w:val="auto"/>
          <w:sz w:val="24"/>
          <w:highlight w:val="none"/>
        </w:rPr>
      </w:pPr>
      <w:r>
        <w:rPr>
          <w:rFonts w:hint="eastAsia" w:ascii="宋体" w:hAnsi="宋体" w:cs="宋体"/>
          <w:b/>
          <w:color w:val="auto"/>
          <w:sz w:val="24"/>
          <w:highlight w:val="none"/>
        </w:rPr>
        <w:t>8、参选有效期：</w:t>
      </w:r>
      <w:r>
        <w:rPr>
          <w:rFonts w:hint="eastAsia" w:ascii="宋体" w:hAnsi="宋体" w:cs="宋体"/>
          <w:bCs/>
          <w:color w:val="auto"/>
          <w:sz w:val="24"/>
          <w:highlight w:val="none"/>
        </w:rPr>
        <w:t>提交参选文件截止日后90天</w:t>
      </w:r>
      <w:r>
        <w:rPr>
          <w:rFonts w:hint="eastAsia" w:ascii="宋体" w:hAnsi="宋体" w:cs="宋体"/>
          <w:b/>
          <w:color w:val="auto"/>
          <w:sz w:val="24"/>
          <w:highlight w:val="none"/>
        </w:rPr>
        <w:t>。</w:t>
      </w:r>
    </w:p>
    <w:p w14:paraId="134296A2">
      <w:pPr>
        <w:spacing w:line="520" w:lineRule="exact"/>
        <w:rPr>
          <w:rFonts w:hint="eastAsia" w:ascii="宋体" w:hAnsi="宋体" w:cs="宋体"/>
          <w:b/>
          <w:color w:val="auto"/>
          <w:sz w:val="24"/>
          <w:highlight w:val="none"/>
        </w:rPr>
      </w:pPr>
      <w:r>
        <w:rPr>
          <w:rFonts w:hint="eastAsia" w:ascii="宋体" w:hAnsi="宋体" w:cs="宋体"/>
          <w:b/>
          <w:color w:val="auto"/>
          <w:sz w:val="24"/>
          <w:highlight w:val="none"/>
        </w:rPr>
        <w:t>9、参选文件的递交、参选时间和地点</w:t>
      </w:r>
    </w:p>
    <w:p w14:paraId="1857D59E">
      <w:pPr>
        <w:spacing w:line="520" w:lineRule="exact"/>
        <w:rPr>
          <w:rFonts w:hint="eastAsia" w:ascii="宋体" w:hAnsi="宋体" w:cs="宋体"/>
          <w:b/>
          <w:color w:val="auto"/>
          <w:sz w:val="24"/>
          <w:highlight w:val="none"/>
          <w:u w:val="single"/>
        </w:rPr>
      </w:pPr>
      <w:r>
        <w:rPr>
          <w:rFonts w:hint="eastAsia" w:ascii="宋体" w:hAnsi="宋体" w:cs="宋体"/>
          <w:color w:val="auto"/>
          <w:sz w:val="24"/>
          <w:highlight w:val="none"/>
        </w:rPr>
        <w:t>9.1参选文件递交截止时间：</w:t>
      </w:r>
      <w:r>
        <w:rPr>
          <w:rFonts w:hint="eastAsia" w:ascii="宋体" w:hAnsi="宋体" w:cs="宋体"/>
          <w:b/>
          <w:color w:val="auto"/>
          <w:sz w:val="24"/>
          <w:highlight w:val="none"/>
          <w:u w:val="single"/>
        </w:rPr>
        <w:t>2026年6月1</w:t>
      </w:r>
      <w:r>
        <w:rPr>
          <w:rFonts w:hint="eastAsia" w:ascii="宋体" w:hAnsi="宋体" w:cs="宋体"/>
          <w:b/>
          <w:color w:val="auto"/>
          <w:sz w:val="24"/>
          <w:highlight w:val="none"/>
          <w:u w:val="single"/>
          <w:lang w:val="en-US" w:eastAsia="zh-CN"/>
        </w:rPr>
        <w:t>8</w:t>
      </w:r>
      <w:r>
        <w:rPr>
          <w:rFonts w:hint="eastAsia" w:ascii="宋体" w:hAnsi="宋体" w:cs="宋体"/>
          <w:b/>
          <w:color w:val="auto"/>
          <w:sz w:val="24"/>
          <w:highlight w:val="none"/>
          <w:u w:val="single"/>
        </w:rPr>
        <w:t>日14:30时。</w:t>
      </w:r>
    </w:p>
    <w:p w14:paraId="1DA1548F">
      <w:pPr>
        <w:spacing w:line="520" w:lineRule="exact"/>
        <w:rPr>
          <w:rFonts w:hint="eastAsia" w:ascii="宋体" w:hAnsi="宋体" w:cs="宋体"/>
          <w:color w:val="auto"/>
          <w:sz w:val="24"/>
          <w:highlight w:val="none"/>
          <w:u w:val="single"/>
        </w:rPr>
      </w:pPr>
      <w:r>
        <w:rPr>
          <w:rFonts w:hint="eastAsia" w:ascii="宋体" w:hAnsi="宋体" w:cs="宋体"/>
          <w:color w:val="auto"/>
          <w:sz w:val="24"/>
          <w:highlight w:val="none"/>
        </w:rPr>
        <w:t>9.2参选</w:t>
      </w:r>
      <w:r>
        <w:rPr>
          <w:rFonts w:hint="eastAsia" w:ascii="宋体" w:hAnsi="宋体" w:cs="宋体"/>
          <w:color w:val="auto"/>
          <w:sz w:val="24"/>
          <w:highlight w:val="none"/>
          <w:lang w:eastAsia="zh-CN"/>
        </w:rPr>
        <w:t>截止</w:t>
      </w:r>
      <w:r>
        <w:rPr>
          <w:rFonts w:hint="eastAsia" w:ascii="宋体" w:hAnsi="宋体" w:cs="宋体"/>
          <w:color w:val="auto"/>
          <w:sz w:val="24"/>
          <w:highlight w:val="none"/>
        </w:rPr>
        <w:t>时间为：</w:t>
      </w:r>
      <w:r>
        <w:rPr>
          <w:rFonts w:hint="eastAsia" w:ascii="宋体" w:hAnsi="宋体" w:cs="宋体"/>
          <w:b/>
          <w:color w:val="auto"/>
          <w:sz w:val="24"/>
          <w:highlight w:val="none"/>
          <w:u w:val="single"/>
        </w:rPr>
        <w:t>2026年6月1</w:t>
      </w:r>
      <w:r>
        <w:rPr>
          <w:rFonts w:hint="eastAsia" w:ascii="宋体" w:hAnsi="宋体" w:cs="宋体"/>
          <w:b/>
          <w:color w:val="auto"/>
          <w:sz w:val="24"/>
          <w:highlight w:val="none"/>
          <w:u w:val="single"/>
          <w:lang w:val="en-US" w:eastAsia="zh-CN"/>
        </w:rPr>
        <w:t>8</w:t>
      </w:r>
      <w:r>
        <w:rPr>
          <w:rFonts w:hint="eastAsia" w:ascii="宋体" w:hAnsi="宋体" w:cs="宋体"/>
          <w:b/>
          <w:color w:val="auto"/>
          <w:sz w:val="24"/>
          <w:highlight w:val="none"/>
          <w:u w:val="single"/>
        </w:rPr>
        <w:t>日14:30时。</w:t>
      </w:r>
    </w:p>
    <w:p w14:paraId="687E6D31">
      <w:pPr>
        <w:spacing w:line="560" w:lineRule="exact"/>
        <w:jc w:val="left"/>
        <w:rPr>
          <w:rFonts w:hint="eastAsia" w:ascii="宋体" w:hAnsi="宋体" w:cs="宋体"/>
          <w:color w:val="auto"/>
          <w:sz w:val="24"/>
          <w:highlight w:val="none"/>
          <w:u w:val="single"/>
        </w:rPr>
      </w:pPr>
      <w:r>
        <w:rPr>
          <w:rFonts w:hint="eastAsia" w:ascii="宋体" w:hAnsi="宋体" w:cs="宋体"/>
          <w:color w:val="auto"/>
          <w:sz w:val="24"/>
          <w:highlight w:val="none"/>
        </w:rPr>
        <w:t>9.3递交参选文件及地点：</w:t>
      </w:r>
      <w:r>
        <w:rPr>
          <w:rFonts w:hint="eastAsia" w:ascii="宋体" w:hAnsi="宋体" w:cs="宋体"/>
          <w:color w:val="auto"/>
          <w:sz w:val="24"/>
          <w:highlight w:val="none"/>
          <w:lang w:val="en-US" w:eastAsia="zh-CN"/>
        </w:rPr>
        <w:t>南昌市红谷滩区世贸路博能中心二期7楼703-704室</w:t>
      </w:r>
      <w:r>
        <w:rPr>
          <w:rFonts w:hint="eastAsia" w:ascii="宋体" w:hAnsi="宋体" w:cs="宋体"/>
          <w:color w:val="auto"/>
          <w:sz w:val="24"/>
          <w:highlight w:val="none"/>
        </w:rPr>
        <w:t xml:space="preserve">。                       </w:t>
      </w:r>
    </w:p>
    <w:p w14:paraId="0D9657A0">
      <w:pPr>
        <w:spacing w:line="520" w:lineRule="exact"/>
        <w:rPr>
          <w:rFonts w:hint="eastAsia" w:ascii="宋体" w:hAnsi="宋体" w:cs="宋体"/>
          <w:b/>
          <w:color w:val="auto"/>
          <w:sz w:val="24"/>
          <w:highlight w:val="none"/>
        </w:rPr>
      </w:pPr>
      <w:r>
        <w:rPr>
          <w:rFonts w:hint="eastAsia" w:ascii="宋体" w:hAnsi="宋体" w:cs="宋体"/>
          <w:b/>
          <w:color w:val="auto"/>
          <w:sz w:val="24"/>
          <w:highlight w:val="none"/>
        </w:rPr>
        <w:t>10、参选报价</w:t>
      </w:r>
    </w:p>
    <w:p w14:paraId="3B80EF15">
      <w:pPr>
        <w:spacing w:line="560" w:lineRule="exact"/>
        <w:jc w:val="left"/>
        <w:rPr>
          <w:rFonts w:hint="eastAsia" w:ascii="宋体" w:hAnsi="宋体" w:cs="宋体"/>
          <w:color w:val="auto"/>
          <w:sz w:val="24"/>
          <w:highlight w:val="none"/>
        </w:rPr>
      </w:pPr>
      <w:r>
        <w:rPr>
          <w:rFonts w:hint="eastAsia" w:ascii="宋体" w:hAnsi="宋体" w:cs="宋体"/>
          <w:color w:val="auto"/>
          <w:sz w:val="24"/>
          <w:highlight w:val="none"/>
        </w:rPr>
        <w:t>10.1所有参选均以人民币报价。参选单价低于</w:t>
      </w:r>
      <w:r>
        <w:rPr>
          <w:rFonts w:hint="eastAsia" w:ascii="宋体" w:hAnsi="宋体" w:cs="宋体"/>
          <w:color w:val="auto"/>
          <w:sz w:val="24"/>
          <w:highlight w:val="none"/>
          <w:lang w:val="en-US" w:eastAsia="zh-CN"/>
        </w:rPr>
        <w:t>比选控制价</w:t>
      </w:r>
      <w:r>
        <w:rPr>
          <w:rFonts w:hint="eastAsia" w:ascii="宋体" w:hAnsi="宋体" w:cs="宋体"/>
          <w:color w:val="auto"/>
          <w:sz w:val="24"/>
          <w:highlight w:val="none"/>
        </w:rPr>
        <w:t>，其参选无效。</w:t>
      </w:r>
    </w:p>
    <w:p w14:paraId="0A8C1424">
      <w:pPr>
        <w:spacing w:line="560" w:lineRule="exact"/>
        <w:jc w:val="left"/>
        <w:rPr>
          <w:rFonts w:hint="eastAsia" w:ascii="宋体" w:hAnsi="宋体" w:cs="宋体"/>
          <w:color w:val="auto"/>
          <w:sz w:val="24"/>
          <w:highlight w:val="none"/>
        </w:rPr>
      </w:pPr>
      <w:r>
        <w:rPr>
          <w:rFonts w:hint="eastAsia" w:ascii="宋体" w:hAnsi="宋体" w:cs="宋体"/>
          <w:color w:val="auto"/>
          <w:sz w:val="24"/>
          <w:highlight w:val="none"/>
        </w:rPr>
        <w:t>10.2参选文件报价出现前后不一致的，除综合比选文件另有规定外，按照下列规定修正：</w:t>
      </w:r>
    </w:p>
    <w:p w14:paraId="628D0624">
      <w:pPr>
        <w:spacing w:line="440" w:lineRule="exact"/>
        <w:rPr>
          <w:rFonts w:hint="eastAsia" w:ascii="宋体" w:hAnsi="宋体" w:cs="宋体"/>
          <w:color w:val="auto"/>
          <w:sz w:val="24"/>
          <w:highlight w:val="none"/>
        </w:rPr>
      </w:pPr>
      <w:r>
        <w:rPr>
          <w:rFonts w:hint="eastAsia" w:ascii="宋体" w:hAnsi="宋体" w:cs="宋体"/>
          <w:color w:val="auto"/>
          <w:sz w:val="24"/>
          <w:highlight w:val="none"/>
        </w:rPr>
        <w:t>（1）参选文件中比选一览表（报价表）内容与参选文件中相应内容不一致的，以比选一览表（报价表）为准；</w:t>
      </w:r>
    </w:p>
    <w:p w14:paraId="566D4751">
      <w:pPr>
        <w:spacing w:line="440" w:lineRule="exact"/>
        <w:rPr>
          <w:rFonts w:hint="eastAsia" w:ascii="宋体" w:hAnsi="宋体" w:cs="宋体"/>
          <w:color w:val="auto"/>
          <w:sz w:val="24"/>
          <w:highlight w:val="none"/>
        </w:rPr>
      </w:pPr>
      <w:r>
        <w:rPr>
          <w:rFonts w:hint="eastAsia" w:ascii="宋体" w:hAnsi="宋体" w:cs="宋体"/>
          <w:color w:val="auto"/>
          <w:sz w:val="24"/>
          <w:highlight w:val="none"/>
        </w:rPr>
        <w:t>（2）大写金额和小写金额不一致的，以大写金额为准；</w:t>
      </w:r>
    </w:p>
    <w:p w14:paraId="7F251FC4">
      <w:pPr>
        <w:spacing w:line="440" w:lineRule="exact"/>
        <w:ind w:firstLine="480"/>
        <w:rPr>
          <w:rFonts w:hint="eastAsia" w:ascii="宋体" w:hAnsi="宋体" w:cs="宋体"/>
          <w:b/>
          <w:bCs/>
          <w:color w:val="auto"/>
          <w:sz w:val="24"/>
          <w:highlight w:val="none"/>
        </w:rPr>
      </w:pPr>
      <w:r>
        <w:rPr>
          <w:rFonts w:hint="eastAsia" w:ascii="宋体" w:hAnsi="宋体" w:cs="宋体"/>
          <w:color w:val="auto"/>
          <w:sz w:val="24"/>
          <w:highlight w:val="none"/>
        </w:rPr>
        <w:t>同时出现两种以上不一致的，按照前款规定的顺序修正。修正后的报价按照参选人的澄清、说明或者补正应当采用书面形式，并加盖参选人公章，或者由法定代表人或其授权的代表签字。参选人的澄清、说明或者补正不得超出参选文件的范围或者改变参选文件的实质性内容的规定经参选人确认后产生约束力，参选人不确认的，</w:t>
      </w:r>
      <w:r>
        <w:rPr>
          <w:rFonts w:hint="eastAsia" w:ascii="宋体" w:hAnsi="宋体" w:cs="宋体"/>
          <w:b/>
          <w:bCs/>
          <w:color w:val="auto"/>
          <w:sz w:val="24"/>
          <w:highlight w:val="none"/>
        </w:rPr>
        <w:t>其参选（竞租）无效。</w:t>
      </w:r>
    </w:p>
    <w:p w14:paraId="1ADA36FD">
      <w:pPr>
        <w:spacing w:line="520" w:lineRule="exact"/>
        <w:rPr>
          <w:rFonts w:hint="eastAsia" w:ascii="宋体" w:hAnsi="宋体" w:cs="宋体"/>
          <w:b/>
          <w:bCs/>
          <w:color w:val="auto"/>
          <w:sz w:val="24"/>
          <w:highlight w:val="none"/>
        </w:rPr>
      </w:pPr>
      <w:r>
        <w:rPr>
          <w:rFonts w:hint="eastAsia" w:ascii="宋体" w:hAnsi="宋体" w:cs="宋体"/>
          <w:b/>
          <w:bCs/>
          <w:color w:val="auto"/>
          <w:sz w:val="24"/>
          <w:highlight w:val="none"/>
        </w:rPr>
        <w:t>11、比选程序</w:t>
      </w:r>
    </w:p>
    <w:p w14:paraId="4150AF79">
      <w:pPr>
        <w:spacing w:line="520" w:lineRule="exact"/>
        <w:rPr>
          <w:rFonts w:hint="eastAsia" w:ascii="宋体" w:hAnsi="宋体" w:cs="宋体"/>
          <w:b/>
          <w:bCs/>
          <w:color w:val="auto"/>
          <w:sz w:val="24"/>
          <w:highlight w:val="none"/>
        </w:rPr>
      </w:pPr>
      <w:r>
        <w:rPr>
          <w:rFonts w:hint="eastAsia" w:ascii="宋体" w:hAnsi="宋体" w:cs="宋体"/>
          <w:b/>
          <w:bCs/>
          <w:color w:val="auto"/>
          <w:sz w:val="24"/>
          <w:highlight w:val="none"/>
        </w:rPr>
        <w:t>11.1响应参选人比选时需提供的资料原件：</w:t>
      </w:r>
    </w:p>
    <w:p w14:paraId="45211430">
      <w:pPr>
        <w:spacing w:line="520" w:lineRule="exact"/>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 xml:space="preserve">①法定代表人证明（或法定代表人授权委托书）及本人身份证；                                                                                                                                                                                                                                                                                                                                                                                                                                                                                            </w:t>
      </w:r>
    </w:p>
    <w:p w14:paraId="65BF454D">
      <w:pPr>
        <w:spacing w:line="520" w:lineRule="exact"/>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②企业营业执照。</w:t>
      </w:r>
    </w:p>
    <w:p w14:paraId="3BA1CB6F">
      <w:pPr>
        <w:spacing w:line="520" w:lineRule="exact"/>
        <w:rPr>
          <w:rFonts w:hint="eastAsia" w:ascii="宋体" w:hAnsi="宋体" w:cs="宋体"/>
          <w:b/>
          <w:bCs/>
          <w:color w:val="auto"/>
          <w:sz w:val="24"/>
          <w:highlight w:val="none"/>
        </w:rPr>
      </w:pPr>
      <w:r>
        <w:rPr>
          <w:rFonts w:hint="eastAsia" w:ascii="宋体" w:hAnsi="宋体" w:cs="宋体"/>
          <w:b/>
          <w:bCs/>
          <w:color w:val="auto"/>
          <w:sz w:val="24"/>
          <w:highlight w:val="none"/>
        </w:rPr>
        <w:t>11.2程序：</w:t>
      </w:r>
    </w:p>
    <w:p w14:paraId="2D2B8803">
      <w:pPr>
        <w:spacing w:line="520" w:lineRule="exact"/>
        <w:rPr>
          <w:rFonts w:hint="eastAsia" w:ascii="宋体" w:hAnsi="宋体" w:cs="宋体"/>
          <w:b/>
          <w:bCs/>
          <w:color w:val="auto"/>
          <w:sz w:val="24"/>
          <w:highlight w:val="none"/>
        </w:rPr>
      </w:pPr>
      <w:r>
        <w:rPr>
          <w:rFonts w:hint="eastAsia" w:ascii="宋体" w:hAnsi="宋体" w:cs="宋体"/>
          <w:b/>
          <w:bCs/>
          <w:color w:val="auto"/>
          <w:sz w:val="24"/>
          <w:highlight w:val="none"/>
        </w:rPr>
        <w:t>比选会议由比选人或代理机构主持：</w:t>
      </w:r>
    </w:p>
    <w:p w14:paraId="66D4EE24">
      <w:pPr>
        <w:spacing w:line="440" w:lineRule="exact"/>
        <w:rPr>
          <w:rFonts w:hint="eastAsia" w:ascii="宋体" w:hAnsi="宋体" w:cs="宋体"/>
          <w:color w:val="auto"/>
          <w:sz w:val="24"/>
          <w:highlight w:val="none"/>
        </w:rPr>
      </w:pPr>
      <w:r>
        <w:rPr>
          <w:rFonts w:hint="eastAsia" w:ascii="宋体" w:hAnsi="宋体" w:cs="宋体"/>
          <w:color w:val="auto"/>
          <w:sz w:val="24"/>
          <w:highlight w:val="none"/>
        </w:rPr>
        <w:t>（1）宣布比选纪律；</w:t>
      </w:r>
    </w:p>
    <w:p w14:paraId="15F6D9B0">
      <w:pPr>
        <w:spacing w:line="440" w:lineRule="exact"/>
        <w:rPr>
          <w:rFonts w:hint="eastAsia" w:ascii="宋体" w:hAnsi="宋体" w:cs="宋体"/>
          <w:color w:val="auto"/>
          <w:sz w:val="24"/>
          <w:highlight w:val="none"/>
        </w:rPr>
      </w:pPr>
      <w:r>
        <w:rPr>
          <w:rFonts w:hint="eastAsia" w:ascii="宋体" w:hAnsi="宋体" w:cs="宋体"/>
          <w:color w:val="auto"/>
          <w:sz w:val="24"/>
          <w:highlight w:val="none"/>
        </w:rPr>
        <w:t>（2）公布在参选截止时间前递交参选文件的响应参选人名称；</w:t>
      </w:r>
    </w:p>
    <w:p w14:paraId="4C7D8714">
      <w:pPr>
        <w:spacing w:line="440" w:lineRule="exact"/>
        <w:rPr>
          <w:rFonts w:hint="eastAsia" w:ascii="宋体" w:hAnsi="宋体" w:cs="宋体"/>
          <w:color w:val="auto"/>
          <w:sz w:val="24"/>
          <w:highlight w:val="none"/>
        </w:rPr>
      </w:pPr>
      <w:r>
        <w:rPr>
          <w:rFonts w:hint="eastAsia" w:ascii="宋体" w:hAnsi="宋体" w:cs="宋体"/>
          <w:color w:val="auto"/>
          <w:sz w:val="24"/>
          <w:highlight w:val="none"/>
        </w:rPr>
        <w:t>（3）宣布参选人、比选代理人、记录人、监督人等有关人员；</w:t>
      </w:r>
    </w:p>
    <w:p w14:paraId="30EA158A">
      <w:pPr>
        <w:spacing w:line="440" w:lineRule="exact"/>
        <w:rPr>
          <w:rFonts w:hint="eastAsia" w:ascii="宋体" w:hAnsi="宋体" w:cs="宋体"/>
          <w:color w:val="auto"/>
          <w:sz w:val="24"/>
          <w:highlight w:val="none"/>
        </w:rPr>
      </w:pPr>
      <w:r>
        <w:rPr>
          <w:rFonts w:hint="eastAsia" w:ascii="宋体" w:hAnsi="宋体" w:cs="宋体"/>
          <w:color w:val="auto"/>
          <w:sz w:val="24"/>
          <w:highlight w:val="none"/>
        </w:rPr>
        <w:t>（4）由参选人代表和监督人现场进行查验参选人提供法定代表人证明或委托代理人授权委托书原件、法定代表人或委托代理人身份证原件；</w:t>
      </w:r>
    </w:p>
    <w:p w14:paraId="04838A6C">
      <w:pPr>
        <w:spacing w:line="440" w:lineRule="exact"/>
        <w:rPr>
          <w:rFonts w:hint="eastAsia" w:ascii="宋体" w:hAnsi="宋体" w:cs="宋体"/>
          <w:color w:val="auto"/>
          <w:sz w:val="24"/>
          <w:highlight w:val="none"/>
        </w:rPr>
      </w:pPr>
      <w:r>
        <w:rPr>
          <w:rFonts w:hint="eastAsia" w:ascii="宋体" w:hAnsi="宋体" w:cs="宋体"/>
          <w:color w:val="auto"/>
          <w:sz w:val="24"/>
          <w:highlight w:val="none"/>
        </w:rPr>
        <w:t>（5）检查参选文件的密封情况，开启参选文件，宣布各参选人的参选报价；</w:t>
      </w:r>
    </w:p>
    <w:p w14:paraId="35DEC95C">
      <w:pPr>
        <w:spacing w:line="420" w:lineRule="exact"/>
        <w:textAlignment w:val="center"/>
        <w:rPr>
          <w:rFonts w:hint="eastAsia" w:ascii="宋体" w:hAnsi="宋体" w:cs="宋体"/>
          <w:color w:val="auto"/>
          <w:sz w:val="24"/>
          <w:highlight w:val="none"/>
        </w:rPr>
      </w:pPr>
      <w:r>
        <w:rPr>
          <w:rFonts w:hint="eastAsia" w:ascii="宋体" w:hAnsi="宋体" w:cs="宋体"/>
          <w:color w:val="auto"/>
          <w:sz w:val="24"/>
          <w:highlight w:val="none"/>
        </w:rPr>
        <w:t>（6）参选人代表、监督人、记录人等有关人员在比选记录上签字确认；</w:t>
      </w:r>
    </w:p>
    <w:p w14:paraId="2CE621C2">
      <w:pPr>
        <w:spacing w:line="420" w:lineRule="exact"/>
        <w:textAlignment w:val="center"/>
        <w:rPr>
          <w:rFonts w:hint="eastAsia" w:ascii="宋体" w:hAnsi="宋体" w:cs="宋体"/>
          <w:color w:val="auto"/>
          <w:sz w:val="24"/>
          <w:highlight w:val="none"/>
        </w:rPr>
      </w:pPr>
      <w:r>
        <w:rPr>
          <w:rFonts w:hint="eastAsia" w:ascii="宋体" w:hAnsi="宋体" w:cs="宋体"/>
          <w:color w:val="auto"/>
          <w:sz w:val="24"/>
          <w:highlight w:val="none"/>
        </w:rPr>
        <w:t>（7）比选会议结束。</w:t>
      </w:r>
    </w:p>
    <w:p w14:paraId="015529E9">
      <w:pPr>
        <w:spacing w:line="520" w:lineRule="exact"/>
        <w:rPr>
          <w:rFonts w:hint="eastAsia" w:ascii="宋体" w:hAnsi="宋体" w:cs="宋体"/>
          <w:b/>
          <w:color w:val="auto"/>
          <w:sz w:val="24"/>
          <w:highlight w:val="none"/>
        </w:rPr>
      </w:pPr>
      <w:r>
        <w:rPr>
          <w:rFonts w:hint="eastAsia" w:ascii="宋体" w:hAnsi="宋体" w:cs="宋体"/>
          <w:b/>
          <w:color w:val="auto"/>
          <w:sz w:val="24"/>
          <w:highlight w:val="none"/>
        </w:rPr>
        <w:t>12、评审、评审程序及中选</w:t>
      </w:r>
    </w:p>
    <w:p w14:paraId="737D6794">
      <w:pPr>
        <w:spacing w:line="360" w:lineRule="auto"/>
        <w:rPr>
          <w:rFonts w:hint="eastAsia" w:ascii="宋体" w:hAnsi="宋体" w:cs="宋体"/>
          <w:color w:val="auto"/>
          <w:sz w:val="24"/>
          <w:highlight w:val="none"/>
        </w:rPr>
      </w:pPr>
      <w:r>
        <w:rPr>
          <w:rFonts w:hint="eastAsia" w:ascii="宋体" w:hAnsi="宋体" w:cs="宋体"/>
          <w:b/>
          <w:bCs/>
          <w:color w:val="auto"/>
          <w:sz w:val="24"/>
          <w:highlight w:val="none"/>
        </w:rPr>
        <w:t>（1）评审</w:t>
      </w:r>
      <w:r>
        <w:rPr>
          <w:rFonts w:hint="eastAsia" w:ascii="宋体" w:hAnsi="宋体" w:cs="宋体"/>
          <w:color w:val="auto"/>
          <w:sz w:val="24"/>
          <w:highlight w:val="none"/>
        </w:rPr>
        <w:t>：本项目采用</w:t>
      </w:r>
      <w:r>
        <w:rPr>
          <w:rFonts w:hint="eastAsia" w:ascii="宋体" w:hAnsi="宋体" w:cs="宋体"/>
          <w:b/>
          <w:bCs/>
          <w:color w:val="auto"/>
          <w:sz w:val="24"/>
          <w:highlight w:val="none"/>
          <w:u w:val="single"/>
        </w:rPr>
        <w:t xml:space="preserve"> 综合评分法 </w:t>
      </w:r>
      <w:r>
        <w:rPr>
          <w:rFonts w:hint="eastAsia" w:ascii="宋体" w:hAnsi="宋体" w:cs="宋体"/>
          <w:color w:val="auto"/>
          <w:sz w:val="24"/>
          <w:highlight w:val="none"/>
        </w:rPr>
        <w:t>的方式进行评审，总分采用百分制。</w:t>
      </w:r>
    </w:p>
    <w:p w14:paraId="1112C9C4">
      <w:pPr>
        <w:spacing w:line="460" w:lineRule="exact"/>
        <w:rPr>
          <w:rFonts w:hint="eastAsia" w:ascii="宋体" w:hAnsi="宋体" w:cs="宋体"/>
          <w:color w:val="auto"/>
          <w:sz w:val="24"/>
          <w:highlight w:val="none"/>
        </w:rPr>
      </w:pPr>
      <w:r>
        <w:rPr>
          <w:rFonts w:hint="eastAsia" w:ascii="宋体" w:hAnsi="宋体" w:cs="宋体"/>
          <w:b/>
          <w:bCs/>
          <w:color w:val="auto"/>
          <w:sz w:val="24"/>
          <w:highlight w:val="none"/>
        </w:rPr>
        <w:t>（2）评审程序：</w:t>
      </w:r>
    </w:p>
    <w:p w14:paraId="4FFED134">
      <w:pPr>
        <w:spacing w:line="440" w:lineRule="exact"/>
        <w:ind w:firstLine="600" w:firstLineChars="250"/>
        <w:rPr>
          <w:rFonts w:hint="eastAsia" w:ascii="宋体" w:hAnsi="宋体" w:cs="宋体"/>
          <w:color w:val="auto"/>
          <w:sz w:val="24"/>
          <w:highlight w:val="none"/>
        </w:rPr>
      </w:pPr>
      <w:r>
        <w:rPr>
          <w:rFonts w:hint="eastAsia" w:ascii="宋体" w:hAnsi="宋体" w:cs="宋体"/>
          <w:color w:val="auto"/>
          <w:sz w:val="24"/>
          <w:highlight w:val="none"/>
        </w:rPr>
        <w:t>1）以封闭方式进行评审。评审全过程中不允许参选人与评审委员会之间有可能影响到参选结果公正性的会面与谈话，以体现公平、公正的基本原则。</w:t>
      </w:r>
    </w:p>
    <w:p w14:paraId="74038CD0">
      <w:pPr>
        <w:spacing w:line="440" w:lineRule="exact"/>
        <w:ind w:firstLine="600" w:firstLineChars="250"/>
        <w:rPr>
          <w:rFonts w:hint="eastAsia" w:ascii="宋体" w:hAnsi="宋体" w:cs="宋体"/>
          <w:color w:val="auto"/>
          <w:sz w:val="24"/>
          <w:highlight w:val="none"/>
        </w:rPr>
      </w:pPr>
      <w:r>
        <w:rPr>
          <w:rFonts w:hint="eastAsia" w:ascii="宋体" w:hAnsi="宋体" w:cs="宋体"/>
          <w:color w:val="auto"/>
          <w:sz w:val="24"/>
          <w:highlight w:val="none"/>
        </w:rPr>
        <w:t>2）评审专家在评审前，由代理机构宣布评审纪律和评审原则，并请各评审专家遵照执行。评审专家签署《评审专家承诺书》后，推选评审委员会召集人。</w:t>
      </w:r>
    </w:p>
    <w:p w14:paraId="2A57DD86">
      <w:pPr>
        <w:spacing w:line="440" w:lineRule="exact"/>
        <w:ind w:firstLine="600" w:firstLineChars="250"/>
        <w:rPr>
          <w:rFonts w:hint="eastAsia" w:ascii="宋体" w:hAnsi="宋体" w:cs="宋体"/>
          <w:color w:val="auto"/>
          <w:sz w:val="24"/>
          <w:highlight w:val="none"/>
        </w:rPr>
      </w:pPr>
      <w:r>
        <w:rPr>
          <w:rFonts w:hint="eastAsia" w:ascii="宋体" w:hAnsi="宋体" w:cs="宋体"/>
          <w:color w:val="auto"/>
          <w:sz w:val="24"/>
          <w:highlight w:val="none"/>
        </w:rPr>
        <w:t>3）参选文件的初审（合格参选人不足 3家的，不得评审）。初审分为资格性检查和符合性检查：</w:t>
      </w:r>
    </w:p>
    <w:p w14:paraId="7345E4A0">
      <w:pPr>
        <w:spacing w:line="440" w:lineRule="exact"/>
        <w:ind w:firstLine="600" w:firstLineChars="250"/>
        <w:rPr>
          <w:rFonts w:hint="eastAsia" w:ascii="宋体" w:hAnsi="宋体" w:cs="宋体"/>
          <w:color w:val="auto"/>
          <w:sz w:val="24"/>
          <w:highlight w:val="none"/>
          <w:lang w:val="en-GB"/>
        </w:rPr>
      </w:pPr>
      <w:r>
        <w:rPr>
          <w:rFonts w:hint="eastAsia" w:ascii="宋体" w:hAnsi="宋体" w:cs="宋体"/>
          <w:color w:val="auto"/>
          <w:sz w:val="24"/>
          <w:highlight w:val="none"/>
        </w:rPr>
        <w:t>①</w:t>
      </w:r>
      <w:r>
        <w:rPr>
          <w:rFonts w:hint="eastAsia" w:ascii="宋体" w:hAnsi="宋体" w:cs="宋体"/>
          <w:color w:val="auto"/>
          <w:sz w:val="24"/>
          <w:highlight w:val="none"/>
          <w:lang w:val="en-GB"/>
        </w:rPr>
        <w:t>资格性检查。依据综合比选文件的规定，对参选文件中的资格证明、参选保证金等进行审查，以确定参选人是否具备参选资格。</w:t>
      </w:r>
    </w:p>
    <w:p w14:paraId="53228A23">
      <w:pPr>
        <w:spacing w:line="440" w:lineRule="exact"/>
        <w:ind w:firstLine="600" w:firstLineChars="250"/>
        <w:rPr>
          <w:rFonts w:hint="eastAsia" w:ascii="宋体" w:hAnsi="宋体" w:cs="宋体"/>
          <w:color w:val="auto"/>
          <w:sz w:val="24"/>
          <w:highlight w:val="none"/>
          <w:lang w:val="en-GB"/>
        </w:rPr>
      </w:pPr>
      <w:r>
        <w:rPr>
          <w:rFonts w:hint="eastAsia" w:ascii="宋体" w:hAnsi="宋体" w:cs="宋体"/>
          <w:color w:val="auto"/>
          <w:sz w:val="24"/>
          <w:highlight w:val="none"/>
        </w:rPr>
        <w:t>②</w:t>
      </w:r>
      <w:r>
        <w:rPr>
          <w:rFonts w:hint="eastAsia" w:ascii="宋体" w:hAnsi="宋体" w:cs="宋体"/>
          <w:color w:val="auto"/>
          <w:sz w:val="24"/>
          <w:highlight w:val="none"/>
          <w:lang w:val="en-GB"/>
        </w:rPr>
        <w:t>符合性检查。依据综合比选文件的规定，从参选文件的有效性、完整性和对综合比选文件的响应程度进行审查，以确定是否对综合比选文件的实质性要求做出响应。</w:t>
      </w:r>
    </w:p>
    <w:p w14:paraId="0A70256A">
      <w:pPr>
        <w:spacing w:line="440" w:lineRule="exact"/>
        <w:ind w:firstLine="600" w:firstLineChars="250"/>
        <w:rPr>
          <w:rFonts w:hint="eastAsia" w:ascii="宋体" w:hAnsi="宋体" w:cs="宋体"/>
          <w:color w:val="auto"/>
          <w:sz w:val="24"/>
          <w:highlight w:val="none"/>
        </w:rPr>
      </w:pPr>
      <w:r>
        <w:rPr>
          <w:rFonts w:hint="eastAsia" w:ascii="宋体" w:hAnsi="宋体" w:cs="宋体"/>
          <w:color w:val="auto"/>
          <w:sz w:val="24"/>
          <w:highlight w:val="none"/>
        </w:rPr>
        <w:t>4）参选人不得通过修正或撤消不合要求的偏离或保留从而使参选成为实质上响应的参选。</w:t>
      </w:r>
    </w:p>
    <w:p w14:paraId="33A32753">
      <w:pPr>
        <w:spacing w:line="500" w:lineRule="exact"/>
        <w:ind w:firstLine="564" w:firstLineChars="235"/>
        <w:rPr>
          <w:rFonts w:hint="eastAsia" w:ascii="宋体" w:hAnsi="宋体" w:cs="宋体"/>
          <w:color w:val="auto"/>
          <w:sz w:val="24"/>
          <w:highlight w:val="none"/>
        </w:rPr>
      </w:pPr>
      <w:r>
        <w:rPr>
          <w:rFonts w:hint="eastAsia" w:ascii="宋体" w:hAnsi="宋体" w:cs="宋体"/>
          <w:color w:val="auto"/>
          <w:sz w:val="24"/>
          <w:highlight w:val="none"/>
        </w:rPr>
        <w:t>5）对不同文字文本参选文件的解释发生异议的，以中文文本为准。</w:t>
      </w:r>
    </w:p>
    <w:p w14:paraId="3846D15D">
      <w:pPr>
        <w:spacing w:line="500" w:lineRule="exact"/>
        <w:ind w:firstLine="564" w:firstLineChars="235"/>
        <w:rPr>
          <w:rFonts w:hint="eastAsia" w:ascii="宋体" w:hAnsi="宋体" w:cs="宋体"/>
          <w:color w:val="auto"/>
          <w:sz w:val="24"/>
          <w:highlight w:val="none"/>
        </w:rPr>
      </w:pPr>
      <w:r>
        <w:rPr>
          <w:rFonts w:hint="eastAsia" w:ascii="宋体" w:hAnsi="宋体" w:cs="宋体"/>
          <w:color w:val="auto"/>
          <w:sz w:val="24"/>
          <w:highlight w:val="none"/>
        </w:rPr>
        <w:t>6）参选文件的澄清：为有助于参选的审查、评价和比较，对参选文件中含义不明确、同类问题表述不一致或者有明显文字和计算错误的内容，评审委员会可以书面形式（应当由评审专家签字）要求参选人作出必要的澄清、说明或者纠正。参选人的澄清、说明或者补正应当采用书面形式，由其授权的代表签字，并不得超出参选文件的范围或者改变参选文件的实质性内容。</w:t>
      </w:r>
    </w:p>
    <w:p w14:paraId="038FB1E9">
      <w:pPr>
        <w:spacing w:line="500" w:lineRule="exact"/>
        <w:ind w:firstLine="564" w:firstLineChars="235"/>
        <w:rPr>
          <w:rFonts w:hint="eastAsia" w:ascii="宋体" w:hAnsi="宋体" w:cs="宋体"/>
          <w:color w:val="auto"/>
          <w:sz w:val="24"/>
          <w:highlight w:val="none"/>
        </w:rPr>
      </w:pPr>
      <w:r>
        <w:rPr>
          <w:rFonts w:hint="eastAsia" w:ascii="宋体" w:hAnsi="宋体" w:cs="宋体"/>
          <w:color w:val="auto"/>
          <w:sz w:val="24"/>
          <w:highlight w:val="none"/>
        </w:rPr>
        <w:t>7）比较与评价：评审委员会应当按照综合比选文件中规定的评审方法和标准，对符合性审查合格的参选文件进行商务和技术评估，综合比较与评价。</w:t>
      </w:r>
    </w:p>
    <w:p w14:paraId="4F9F5AA0">
      <w:pPr>
        <w:spacing w:line="500" w:lineRule="exact"/>
        <w:ind w:firstLine="564" w:firstLineChars="235"/>
        <w:rPr>
          <w:rFonts w:hint="eastAsia" w:ascii="宋体" w:hAnsi="宋体" w:cs="宋体"/>
          <w:color w:val="auto"/>
          <w:sz w:val="24"/>
          <w:highlight w:val="none"/>
        </w:rPr>
      </w:pPr>
      <w:r>
        <w:rPr>
          <w:rFonts w:hint="eastAsia" w:ascii="宋体" w:hAnsi="宋体" w:cs="宋体"/>
          <w:color w:val="auto"/>
          <w:sz w:val="24"/>
          <w:highlight w:val="none"/>
        </w:rPr>
        <w:t>8）采用综合评分法的，评审结果按评审后得分由高到低顺序排列。得分、服务能力响应优劣均相同的，由评审委员会随机抽取确定排序。</w:t>
      </w:r>
    </w:p>
    <w:p w14:paraId="778F7EB5">
      <w:pPr>
        <w:spacing w:line="500" w:lineRule="exact"/>
        <w:ind w:firstLine="241" w:firstLineChars="100"/>
        <w:rPr>
          <w:rFonts w:hint="eastAsia" w:ascii="宋体" w:hAnsi="宋体" w:cs="宋体"/>
          <w:color w:val="auto"/>
          <w:sz w:val="24"/>
          <w:highlight w:val="none"/>
        </w:rPr>
      </w:pPr>
      <w:r>
        <w:rPr>
          <w:rFonts w:hint="eastAsia" w:ascii="宋体" w:hAnsi="宋体" w:cs="宋体"/>
          <w:b/>
          <w:bCs/>
          <w:color w:val="auto"/>
          <w:sz w:val="24"/>
          <w:highlight w:val="none"/>
        </w:rPr>
        <w:t>（3）无效参选：</w:t>
      </w:r>
      <w:r>
        <w:rPr>
          <w:rFonts w:hint="eastAsia" w:ascii="宋体" w:hAnsi="宋体" w:cs="宋体"/>
          <w:color w:val="auto"/>
          <w:sz w:val="24"/>
          <w:highlight w:val="none"/>
        </w:rPr>
        <w:t>参选文件属下列情况之一的，应当在资格性、符合性检查时按照无效参选处理。</w:t>
      </w:r>
    </w:p>
    <w:p w14:paraId="5F4C2E25">
      <w:pPr>
        <w:spacing w:line="500" w:lineRule="exact"/>
        <w:ind w:firstLine="564" w:firstLineChars="235"/>
        <w:rPr>
          <w:rFonts w:hint="eastAsia" w:ascii="宋体" w:hAnsi="宋体" w:cs="宋体"/>
          <w:color w:val="auto"/>
          <w:sz w:val="24"/>
          <w:highlight w:val="none"/>
        </w:rPr>
      </w:pPr>
      <w:r>
        <w:rPr>
          <w:rFonts w:hint="eastAsia" w:ascii="宋体" w:hAnsi="宋体" w:cs="宋体"/>
          <w:color w:val="auto"/>
          <w:sz w:val="24"/>
          <w:highlight w:val="none"/>
        </w:rPr>
        <w:t>1）未按规定的格式制作参选文件的；</w:t>
      </w:r>
    </w:p>
    <w:p w14:paraId="6005BFEF">
      <w:pPr>
        <w:spacing w:line="500" w:lineRule="exact"/>
        <w:ind w:firstLine="564" w:firstLineChars="235"/>
        <w:rPr>
          <w:rFonts w:hint="eastAsia" w:ascii="宋体" w:hAnsi="宋体" w:cs="宋体"/>
          <w:color w:val="auto"/>
          <w:sz w:val="24"/>
          <w:highlight w:val="none"/>
        </w:rPr>
      </w:pPr>
      <w:r>
        <w:rPr>
          <w:rFonts w:hint="eastAsia" w:ascii="宋体" w:hAnsi="宋体" w:cs="宋体"/>
          <w:color w:val="auto"/>
          <w:sz w:val="24"/>
          <w:highlight w:val="none"/>
        </w:rPr>
        <w:t>2）不具备综合比选文件中规定资格要求的；</w:t>
      </w:r>
    </w:p>
    <w:p w14:paraId="5C479D58">
      <w:pPr>
        <w:spacing w:line="500" w:lineRule="exact"/>
        <w:ind w:firstLine="564" w:firstLineChars="235"/>
        <w:rPr>
          <w:rFonts w:hint="eastAsia" w:ascii="宋体" w:hAnsi="宋体" w:cs="宋体"/>
          <w:color w:val="auto"/>
          <w:sz w:val="24"/>
          <w:highlight w:val="none"/>
        </w:rPr>
      </w:pPr>
      <w:r>
        <w:rPr>
          <w:rFonts w:hint="eastAsia" w:ascii="宋体" w:hAnsi="宋体" w:cs="宋体"/>
          <w:color w:val="auto"/>
          <w:sz w:val="24"/>
          <w:highlight w:val="none"/>
        </w:rPr>
        <w:t>3）参选文件中材料与原件资料不一致的；</w:t>
      </w:r>
    </w:p>
    <w:p w14:paraId="73FAF2D4">
      <w:pPr>
        <w:spacing w:line="500" w:lineRule="exact"/>
        <w:ind w:firstLine="564" w:firstLineChars="235"/>
        <w:rPr>
          <w:rFonts w:hint="eastAsia" w:ascii="宋体" w:hAnsi="宋体" w:cs="宋体"/>
          <w:color w:val="auto"/>
          <w:sz w:val="24"/>
          <w:highlight w:val="none"/>
        </w:rPr>
      </w:pPr>
      <w:r>
        <w:rPr>
          <w:rFonts w:hint="eastAsia" w:ascii="宋体" w:hAnsi="宋体" w:cs="宋体"/>
          <w:color w:val="auto"/>
          <w:sz w:val="24"/>
          <w:highlight w:val="none"/>
        </w:rPr>
        <w:t>4）参选文件没有按照综合比选文件规定要求签署、盖章的；</w:t>
      </w:r>
    </w:p>
    <w:p w14:paraId="24B89285">
      <w:pPr>
        <w:spacing w:line="500" w:lineRule="exact"/>
        <w:ind w:firstLine="564" w:firstLineChars="235"/>
        <w:rPr>
          <w:rFonts w:hint="eastAsia" w:ascii="宋体" w:hAnsi="宋体" w:cs="宋体"/>
          <w:color w:val="auto"/>
          <w:sz w:val="24"/>
          <w:highlight w:val="none"/>
        </w:rPr>
      </w:pPr>
      <w:r>
        <w:rPr>
          <w:rFonts w:hint="eastAsia" w:ascii="宋体" w:hAnsi="宋体" w:cs="宋体"/>
          <w:color w:val="auto"/>
          <w:sz w:val="24"/>
          <w:highlight w:val="none"/>
        </w:rPr>
        <w:t>5）参选报价低于已公布的</w:t>
      </w:r>
      <w:r>
        <w:rPr>
          <w:rFonts w:hint="eastAsia" w:ascii="宋体" w:hAnsi="宋体" w:cs="宋体"/>
          <w:color w:val="auto"/>
          <w:sz w:val="24"/>
          <w:highlight w:val="none"/>
          <w:lang w:val="en-US" w:eastAsia="zh-CN"/>
        </w:rPr>
        <w:t>比选控制价</w:t>
      </w:r>
      <w:r>
        <w:rPr>
          <w:rFonts w:hint="eastAsia" w:ascii="宋体" w:hAnsi="宋体" w:cs="宋体"/>
          <w:color w:val="auto"/>
          <w:sz w:val="24"/>
          <w:highlight w:val="none"/>
        </w:rPr>
        <w:t>的；</w:t>
      </w:r>
    </w:p>
    <w:p w14:paraId="7D954B1A">
      <w:pPr>
        <w:spacing w:line="500" w:lineRule="exact"/>
        <w:ind w:firstLine="564" w:firstLineChars="235"/>
        <w:rPr>
          <w:rFonts w:hint="eastAsia" w:ascii="宋体" w:hAnsi="宋体" w:cs="宋体"/>
          <w:color w:val="auto"/>
          <w:sz w:val="24"/>
          <w:highlight w:val="none"/>
        </w:rPr>
      </w:pPr>
      <w:r>
        <w:rPr>
          <w:rFonts w:hint="eastAsia" w:ascii="宋体" w:hAnsi="宋体" w:cs="宋体"/>
          <w:color w:val="auto"/>
          <w:sz w:val="24"/>
          <w:highlight w:val="none"/>
        </w:rPr>
        <w:t>6）参选有效期响应不足的；</w:t>
      </w:r>
    </w:p>
    <w:p w14:paraId="06450592">
      <w:pPr>
        <w:spacing w:line="500" w:lineRule="exact"/>
        <w:ind w:firstLine="564" w:firstLineChars="235"/>
        <w:rPr>
          <w:rFonts w:hint="eastAsia" w:ascii="宋体" w:hAnsi="宋体" w:cs="宋体"/>
          <w:color w:val="auto"/>
          <w:sz w:val="24"/>
          <w:highlight w:val="none"/>
        </w:rPr>
      </w:pPr>
      <w:r>
        <w:rPr>
          <w:rFonts w:hint="eastAsia" w:ascii="宋体" w:hAnsi="宋体" w:cs="宋体"/>
          <w:color w:val="auto"/>
          <w:sz w:val="24"/>
          <w:highlight w:val="none"/>
        </w:rPr>
        <w:t>7）参选文件的响应与事实不符或虚假报价的；</w:t>
      </w:r>
    </w:p>
    <w:p w14:paraId="302DA701">
      <w:pPr>
        <w:spacing w:line="500" w:lineRule="exact"/>
        <w:ind w:firstLine="564" w:firstLineChars="235"/>
        <w:rPr>
          <w:rFonts w:hint="eastAsia" w:ascii="宋体" w:hAnsi="宋体" w:cs="宋体"/>
          <w:color w:val="auto"/>
          <w:sz w:val="24"/>
          <w:highlight w:val="none"/>
        </w:rPr>
      </w:pPr>
      <w:r>
        <w:rPr>
          <w:rFonts w:hint="eastAsia" w:ascii="宋体" w:hAnsi="宋体" w:cs="宋体"/>
          <w:color w:val="auto"/>
          <w:sz w:val="24"/>
          <w:highlight w:val="none"/>
        </w:rPr>
        <w:t>8）未响应综合比选文件中规定的服务需求、商务条款要求的；</w:t>
      </w:r>
    </w:p>
    <w:p w14:paraId="498DE502">
      <w:pPr>
        <w:spacing w:line="500" w:lineRule="exact"/>
        <w:ind w:firstLine="564" w:firstLineChars="235"/>
        <w:rPr>
          <w:rFonts w:hint="eastAsia" w:ascii="宋体" w:hAnsi="宋体" w:cs="宋体"/>
          <w:color w:val="auto"/>
          <w:sz w:val="24"/>
          <w:highlight w:val="none"/>
        </w:rPr>
      </w:pPr>
      <w:r>
        <w:rPr>
          <w:rFonts w:hint="eastAsia" w:ascii="宋体" w:hAnsi="宋体" w:cs="宋体"/>
          <w:color w:val="auto"/>
          <w:sz w:val="24"/>
          <w:highlight w:val="none"/>
        </w:rPr>
        <w:t>9）其他被评审委员会认定无效的情况；</w:t>
      </w:r>
    </w:p>
    <w:p w14:paraId="64C409E7">
      <w:pPr>
        <w:spacing w:line="500" w:lineRule="exact"/>
        <w:ind w:firstLine="564" w:firstLineChars="235"/>
        <w:rPr>
          <w:rFonts w:hint="eastAsia" w:ascii="宋体" w:hAnsi="宋体" w:cs="宋体"/>
          <w:color w:val="auto"/>
          <w:sz w:val="24"/>
          <w:highlight w:val="none"/>
        </w:rPr>
      </w:pPr>
      <w:r>
        <w:rPr>
          <w:rFonts w:hint="default" w:ascii="宋体" w:hAnsi="宋体" w:cs="宋体"/>
          <w:color w:val="auto"/>
          <w:sz w:val="24"/>
          <w:highlight w:val="none"/>
          <w:lang w:val="en-US"/>
        </w:rPr>
        <w:t>10</w:t>
      </w:r>
      <w:r>
        <w:rPr>
          <w:rFonts w:hint="eastAsia" w:ascii="宋体" w:hAnsi="宋体" w:cs="宋体"/>
          <w:color w:val="auto"/>
          <w:sz w:val="24"/>
          <w:highlight w:val="none"/>
        </w:rPr>
        <w:t>）未提交参选文件；</w:t>
      </w:r>
    </w:p>
    <w:p w14:paraId="025E8A37">
      <w:pPr>
        <w:spacing w:line="500" w:lineRule="exact"/>
        <w:ind w:firstLine="564" w:firstLineChars="235"/>
        <w:rPr>
          <w:rFonts w:hint="eastAsia" w:ascii="宋体" w:hAnsi="宋体" w:eastAsia="宋体" w:cs="宋体"/>
          <w:color w:val="auto"/>
          <w:sz w:val="24"/>
          <w:highlight w:val="none"/>
          <w:lang w:eastAsia="zh-CN"/>
        </w:rPr>
      </w:pPr>
      <w:r>
        <w:rPr>
          <w:rFonts w:hint="default" w:ascii="宋体" w:hAnsi="宋体" w:cs="宋体"/>
          <w:color w:val="auto"/>
          <w:sz w:val="24"/>
          <w:highlight w:val="none"/>
          <w:lang w:val="en-US"/>
        </w:rPr>
        <w:t>11</w:t>
      </w:r>
      <w:r>
        <w:rPr>
          <w:rFonts w:hint="eastAsia" w:ascii="宋体" w:hAnsi="宋体" w:cs="宋体"/>
          <w:color w:val="auto"/>
          <w:sz w:val="24"/>
          <w:highlight w:val="none"/>
        </w:rPr>
        <w:t>）未按综合比选文件要求交纳参选保证金</w:t>
      </w:r>
      <w:r>
        <w:rPr>
          <w:rFonts w:hint="eastAsia" w:ascii="宋体" w:hAnsi="宋体" w:cs="宋体"/>
          <w:color w:val="auto"/>
          <w:sz w:val="24"/>
          <w:highlight w:val="none"/>
          <w:lang w:eastAsia="zh-CN"/>
        </w:rPr>
        <w:t>。</w:t>
      </w:r>
    </w:p>
    <w:p w14:paraId="54F5E519">
      <w:pPr>
        <w:spacing w:line="500" w:lineRule="exact"/>
        <w:ind w:firstLine="241" w:firstLineChars="100"/>
        <w:rPr>
          <w:rFonts w:hint="eastAsia" w:ascii="宋体" w:hAnsi="宋体" w:cs="宋体"/>
          <w:color w:val="auto"/>
          <w:sz w:val="24"/>
          <w:highlight w:val="none"/>
        </w:rPr>
      </w:pPr>
      <w:r>
        <w:rPr>
          <w:rFonts w:hint="eastAsia" w:ascii="宋体" w:hAnsi="宋体" w:cs="宋体"/>
          <w:b/>
          <w:bCs/>
          <w:color w:val="auto"/>
          <w:sz w:val="24"/>
          <w:highlight w:val="none"/>
        </w:rPr>
        <w:t>（4）在综合比选中，出现下列情形之一的，应予废标：</w:t>
      </w:r>
    </w:p>
    <w:p w14:paraId="48A19D7B">
      <w:pPr>
        <w:spacing w:line="500" w:lineRule="exact"/>
        <w:ind w:firstLine="564" w:firstLineChars="235"/>
        <w:rPr>
          <w:rFonts w:hint="eastAsia" w:ascii="宋体" w:hAnsi="宋体" w:cs="宋体"/>
          <w:color w:val="auto"/>
          <w:sz w:val="24"/>
          <w:highlight w:val="none"/>
        </w:rPr>
      </w:pPr>
      <w:r>
        <w:rPr>
          <w:rFonts w:hint="eastAsia" w:ascii="宋体" w:hAnsi="宋体" w:cs="宋体"/>
          <w:color w:val="auto"/>
          <w:sz w:val="24"/>
          <w:highlight w:val="none"/>
        </w:rPr>
        <w:t>1）符合专业条件的参选人或者对综合比选文件作实质响应的参选人不足三家的；</w:t>
      </w:r>
    </w:p>
    <w:p w14:paraId="7C926704">
      <w:pPr>
        <w:spacing w:line="500" w:lineRule="exact"/>
        <w:ind w:firstLine="564" w:firstLineChars="235"/>
        <w:rPr>
          <w:rFonts w:hint="eastAsia" w:ascii="宋体" w:hAnsi="宋体" w:cs="宋体"/>
          <w:color w:val="auto"/>
          <w:sz w:val="24"/>
          <w:highlight w:val="none"/>
        </w:rPr>
      </w:pPr>
      <w:r>
        <w:rPr>
          <w:rFonts w:hint="eastAsia" w:ascii="宋体" w:hAnsi="宋体" w:cs="宋体"/>
          <w:color w:val="auto"/>
          <w:sz w:val="24"/>
          <w:highlight w:val="none"/>
        </w:rPr>
        <w:t>2）出现影响公正的违法、违规行为的；</w:t>
      </w:r>
    </w:p>
    <w:p w14:paraId="541A3213">
      <w:pPr>
        <w:spacing w:line="500" w:lineRule="exact"/>
        <w:ind w:firstLine="564" w:firstLineChars="235"/>
        <w:rPr>
          <w:rFonts w:hint="eastAsia" w:ascii="宋体" w:hAnsi="宋体" w:cs="宋体"/>
          <w:color w:val="auto"/>
          <w:sz w:val="24"/>
          <w:highlight w:val="none"/>
        </w:rPr>
      </w:pPr>
      <w:r>
        <w:rPr>
          <w:rFonts w:hint="eastAsia" w:ascii="宋体" w:hAnsi="宋体" w:cs="宋体"/>
          <w:color w:val="auto"/>
          <w:sz w:val="24"/>
          <w:highlight w:val="none"/>
        </w:rPr>
        <w:t>3）参选人的报价均低于</w:t>
      </w:r>
      <w:r>
        <w:rPr>
          <w:rFonts w:hint="eastAsia" w:ascii="宋体" w:hAnsi="宋体" w:cs="宋体"/>
          <w:color w:val="auto"/>
          <w:sz w:val="24"/>
          <w:highlight w:val="none"/>
          <w:lang w:val="en-US" w:eastAsia="zh-CN"/>
        </w:rPr>
        <w:t>比选控制价</w:t>
      </w:r>
      <w:r>
        <w:rPr>
          <w:rFonts w:hint="eastAsia" w:ascii="宋体" w:hAnsi="宋体" w:cs="宋体"/>
          <w:color w:val="auto"/>
          <w:sz w:val="24"/>
          <w:highlight w:val="none"/>
        </w:rPr>
        <w:t>；</w:t>
      </w:r>
    </w:p>
    <w:p w14:paraId="4A88FC1B">
      <w:pPr>
        <w:spacing w:line="500" w:lineRule="exact"/>
        <w:ind w:firstLine="564" w:firstLineChars="235"/>
        <w:rPr>
          <w:rFonts w:hint="eastAsia" w:ascii="宋体" w:hAnsi="宋体" w:eastAsia="宋体" w:cs="宋体"/>
          <w:color w:val="auto"/>
          <w:sz w:val="24"/>
          <w:highlight w:val="none"/>
          <w:lang w:eastAsia="zh-CN"/>
        </w:rPr>
      </w:pPr>
      <w:r>
        <w:rPr>
          <w:rFonts w:hint="eastAsia" w:ascii="宋体" w:hAnsi="宋体" w:cs="宋体"/>
          <w:color w:val="auto"/>
          <w:sz w:val="24"/>
          <w:highlight w:val="none"/>
        </w:rPr>
        <w:t>4）因重大变故，</w:t>
      </w:r>
      <w:r>
        <w:rPr>
          <w:rFonts w:hint="eastAsia" w:ascii="宋体" w:hAnsi="宋体" w:cs="宋体"/>
          <w:color w:val="auto"/>
          <w:sz w:val="24"/>
          <w:highlight w:val="none"/>
          <w:lang w:val="en-US" w:eastAsia="zh-CN"/>
        </w:rPr>
        <w:t>本项目</w:t>
      </w:r>
      <w:r>
        <w:rPr>
          <w:rFonts w:hint="eastAsia" w:ascii="宋体" w:hAnsi="宋体" w:cs="宋体"/>
          <w:color w:val="auto"/>
          <w:sz w:val="24"/>
          <w:highlight w:val="none"/>
        </w:rPr>
        <w:t>取消</w:t>
      </w:r>
      <w:r>
        <w:rPr>
          <w:rFonts w:hint="eastAsia" w:ascii="宋体" w:hAnsi="宋体" w:cs="宋体"/>
          <w:color w:val="auto"/>
          <w:sz w:val="24"/>
          <w:highlight w:val="none"/>
          <w:lang w:eastAsia="zh-CN"/>
        </w:rPr>
        <w:t>的</w:t>
      </w:r>
      <w:r>
        <w:rPr>
          <w:rFonts w:hint="eastAsia" w:ascii="宋体" w:hAnsi="宋体" w:cs="宋体"/>
          <w:color w:val="auto"/>
          <w:sz w:val="24"/>
          <w:highlight w:val="none"/>
        </w:rPr>
        <w:t>；</w:t>
      </w:r>
    </w:p>
    <w:p w14:paraId="2C4769D7">
      <w:pPr>
        <w:spacing w:line="500" w:lineRule="exact"/>
        <w:ind w:firstLine="241" w:firstLineChars="100"/>
        <w:rPr>
          <w:rFonts w:hint="eastAsia" w:ascii="宋体" w:hAnsi="宋体" w:cs="宋体"/>
          <w:b/>
          <w:bCs/>
          <w:color w:val="auto"/>
          <w:sz w:val="24"/>
          <w:highlight w:val="none"/>
        </w:rPr>
      </w:pPr>
      <w:r>
        <w:rPr>
          <w:rFonts w:hint="eastAsia" w:ascii="宋体" w:hAnsi="宋体" w:cs="宋体"/>
          <w:b/>
          <w:bCs/>
          <w:color w:val="auto"/>
          <w:sz w:val="24"/>
          <w:highlight w:val="none"/>
        </w:rPr>
        <w:t>（5）评审委员会决定参选的实质性响应，只根据参选本身的真实无误的内容，除查询参选人信用记录，其他评审工作不依据外部的证据，但参选有不真实不正确的内容时除外。</w:t>
      </w:r>
    </w:p>
    <w:p w14:paraId="02F218FE">
      <w:pPr>
        <w:spacing w:line="500" w:lineRule="exact"/>
        <w:ind w:firstLine="241" w:firstLineChars="1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（6）</w:t>
      </w:r>
      <w:r>
        <w:rPr>
          <w:rFonts w:hint="eastAsia" w:ascii="宋体" w:hAnsi="宋体" w:eastAsia="宋体" w:cs="宋体"/>
          <w:b/>
          <w:bCs/>
          <w:color w:val="auto"/>
          <w:sz w:val="24"/>
          <w:highlight w:val="none"/>
          <w:lang w:eastAsia="zh-CN"/>
        </w:rPr>
        <w:t>评审</w:t>
      </w:r>
      <w:r>
        <w:rPr>
          <w:rFonts w:hint="eastAsia" w:ascii="宋体" w:hAnsi="宋体" w:eastAsia="宋体" w:cs="宋体"/>
          <w:b/>
          <w:bCs/>
          <w:color w:val="auto"/>
          <w:sz w:val="24"/>
          <w:highlight w:val="none"/>
        </w:rPr>
        <w:t>方法：</w:t>
      </w:r>
    </w:p>
    <w:p w14:paraId="5C7F0AB2">
      <w:pPr>
        <w:spacing w:line="500" w:lineRule="exact"/>
        <w:ind w:firstLine="564" w:firstLineChars="235"/>
        <w:rPr>
          <w:rFonts w:hint="eastAsia" w:ascii="宋体" w:hAnsi="宋体" w:cs="宋体"/>
          <w:color w:val="auto"/>
          <w:sz w:val="24"/>
          <w:highlight w:val="none"/>
        </w:rPr>
      </w:pPr>
      <w:r>
        <w:rPr>
          <w:rFonts w:hint="eastAsia" w:ascii="宋体" w:hAnsi="宋体" w:cs="宋体"/>
          <w:color w:val="auto"/>
          <w:sz w:val="24"/>
          <w:highlight w:val="none"/>
        </w:rPr>
        <w:t>采用综合评分法，是指评审委员会将按照规定,对满足综合比选文件全部实质性要求的参选文件进行评价和比较，且按评审因素的量化指标评审得分最高的参选人为中选候选人的评审方法。如参选人的参选价格低于</w:t>
      </w:r>
      <w:r>
        <w:rPr>
          <w:rFonts w:hint="eastAsia" w:ascii="宋体" w:hAnsi="宋体" w:cs="宋体"/>
          <w:color w:val="auto"/>
          <w:sz w:val="24"/>
          <w:highlight w:val="none"/>
          <w:lang w:val="en-US" w:eastAsia="zh-CN"/>
        </w:rPr>
        <w:t>比选控制价</w:t>
      </w:r>
      <w:r>
        <w:rPr>
          <w:rFonts w:hint="eastAsia" w:ascii="宋体" w:hAnsi="宋体" w:cs="宋体"/>
          <w:color w:val="auto"/>
          <w:sz w:val="24"/>
          <w:highlight w:val="none"/>
        </w:rPr>
        <w:t>，该参选人做无效标处理。</w:t>
      </w:r>
    </w:p>
    <w:p w14:paraId="7F605EEB">
      <w:pPr>
        <w:spacing w:line="440" w:lineRule="exact"/>
        <w:ind w:left="485" w:leftChars="114" w:hanging="246" w:hangingChars="102"/>
        <w:rPr>
          <w:rFonts w:hint="eastAsia" w:ascii="宋体" w:hAnsi="宋体" w:cs="宋体"/>
          <w:b/>
          <w:color w:val="auto"/>
          <w:sz w:val="24"/>
          <w:highlight w:val="none"/>
        </w:rPr>
      </w:pPr>
      <w:r>
        <w:rPr>
          <w:rFonts w:hint="eastAsia" w:ascii="宋体" w:hAnsi="宋体" w:cs="宋体"/>
          <w:b/>
          <w:color w:val="auto"/>
          <w:sz w:val="24"/>
          <w:highlight w:val="none"/>
        </w:rPr>
        <w:t>符合性评审：</w:t>
      </w:r>
    </w:p>
    <w:tbl>
      <w:tblPr>
        <w:tblStyle w:val="16"/>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3"/>
        <w:gridCol w:w="6630"/>
        <w:gridCol w:w="2163"/>
      </w:tblGrid>
      <w:tr w14:paraId="4EAA1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top"/>
          </w:tcPr>
          <w:p w14:paraId="6BF888B9">
            <w:pPr>
              <w:spacing w:line="440" w:lineRule="exact"/>
              <w:jc w:val="center"/>
              <w:rPr>
                <w:rFonts w:hint="eastAsia" w:ascii="宋体" w:hAnsi="宋体" w:cs="宋体"/>
                <w:b/>
                <w:color w:val="auto"/>
                <w:sz w:val="24"/>
                <w:highlight w:val="none"/>
              </w:rPr>
            </w:pPr>
            <w:r>
              <w:rPr>
                <w:rFonts w:hint="eastAsia" w:ascii="宋体" w:hAnsi="宋体" w:cs="宋体"/>
                <w:b/>
                <w:color w:val="auto"/>
                <w:sz w:val="24"/>
                <w:highlight w:val="none"/>
              </w:rPr>
              <w:t>序号</w:t>
            </w:r>
          </w:p>
        </w:tc>
        <w:tc>
          <w:tcPr>
            <w:tcW w:w="6630" w:type="dxa"/>
            <w:noWrap w:val="0"/>
            <w:vAlign w:val="top"/>
          </w:tcPr>
          <w:p w14:paraId="7BF1BF3B">
            <w:pPr>
              <w:spacing w:line="440" w:lineRule="exact"/>
              <w:jc w:val="center"/>
              <w:rPr>
                <w:rFonts w:hint="eastAsia" w:ascii="宋体" w:hAnsi="宋体" w:cs="宋体"/>
                <w:b/>
                <w:color w:val="auto"/>
                <w:sz w:val="24"/>
                <w:highlight w:val="none"/>
              </w:rPr>
            </w:pPr>
            <w:r>
              <w:rPr>
                <w:rFonts w:hint="eastAsia" w:ascii="宋体" w:hAnsi="宋体" w:cs="宋体"/>
                <w:b/>
                <w:color w:val="auto"/>
                <w:sz w:val="24"/>
                <w:highlight w:val="none"/>
              </w:rPr>
              <w:t>评审内容</w:t>
            </w:r>
          </w:p>
        </w:tc>
        <w:tc>
          <w:tcPr>
            <w:tcW w:w="2163" w:type="dxa"/>
            <w:noWrap w:val="0"/>
            <w:vAlign w:val="top"/>
          </w:tcPr>
          <w:p w14:paraId="733E2A3B">
            <w:pPr>
              <w:spacing w:line="440" w:lineRule="exact"/>
              <w:jc w:val="center"/>
              <w:rPr>
                <w:rFonts w:hint="eastAsia" w:ascii="宋体" w:hAnsi="宋体" w:cs="宋体"/>
                <w:b/>
                <w:color w:val="auto"/>
                <w:sz w:val="24"/>
                <w:highlight w:val="none"/>
              </w:rPr>
            </w:pPr>
            <w:r>
              <w:rPr>
                <w:rFonts w:hint="eastAsia" w:ascii="宋体" w:hAnsi="宋体" w:cs="宋体"/>
                <w:b/>
                <w:color w:val="auto"/>
                <w:sz w:val="24"/>
                <w:highlight w:val="none"/>
              </w:rPr>
              <w:t>是否符合</w:t>
            </w:r>
          </w:p>
        </w:tc>
      </w:tr>
      <w:tr w14:paraId="0745E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top"/>
          </w:tcPr>
          <w:p w14:paraId="2BDF3D7D">
            <w:pPr>
              <w:spacing w:line="440" w:lineRule="exact"/>
              <w:jc w:val="center"/>
              <w:rPr>
                <w:rFonts w:hint="eastAsia" w:ascii="宋体" w:hAnsi="宋体" w:cs="宋体"/>
                <w:b/>
                <w:color w:val="auto"/>
                <w:sz w:val="24"/>
                <w:highlight w:val="none"/>
              </w:rPr>
            </w:pPr>
            <w:r>
              <w:rPr>
                <w:rFonts w:hint="eastAsia" w:ascii="宋体" w:hAnsi="宋体" w:cs="宋体"/>
                <w:b/>
                <w:color w:val="auto"/>
                <w:sz w:val="24"/>
                <w:highlight w:val="none"/>
              </w:rPr>
              <w:t>1</w:t>
            </w:r>
          </w:p>
        </w:tc>
        <w:tc>
          <w:tcPr>
            <w:tcW w:w="6630" w:type="dxa"/>
            <w:noWrap w:val="0"/>
            <w:vAlign w:val="top"/>
          </w:tcPr>
          <w:p w14:paraId="1C2917BF">
            <w:pPr>
              <w:spacing w:line="440" w:lineRule="exact"/>
              <w:rPr>
                <w:rFonts w:hint="eastAsia" w:ascii="宋体" w:hAnsi="宋体" w:cs="宋体"/>
                <w:color w:val="auto"/>
                <w:spacing w:val="-6"/>
                <w:sz w:val="24"/>
                <w:highlight w:val="none"/>
              </w:rPr>
            </w:pPr>
            <w:r>
              <w:rPr>
                <w:rFonts w:hint="eastAsia" w:ascii="宋体" w:hAnsi="宋体" w:cs="宋体"/>
                <w:color w:val="auto"/>
                <w:spacing w:val="-6"/>
                <w:sz w:val="24"/>
                <w:highlight w:val="none"/>
              </w:rPr>
              <w:t>参选人完全响应综合比选文件基本内容</w:t>
            </w:r>
          </w:p>
        </w:tc>
        <w:tc>
          <w:tcPr>
            <w:tcW w:w="2163" w:type="dxa"/>
            <w:noWrap w:val="0"/>
            <w:vAlign w:val="top"/>
          </w:tcPr>
          <w:p w14:paraId="3D137F1C">
            <w:pPr>
              <w:spacing w:line="440" w:lineRule="exact"/>
              <w:jc w:val="center"/>
              <w:rPr>
                <w:rFonts w:hint="eastAsia" w:ascii="宋体" w:hAnsi="宋体" w:cs="宋体"/>
                <w:b/>
                <w:color w:val="auto"/>
                <w:sz w:val="24"/>
                <w:highlight w:val="none"/>
              </w:rPr>
            </w:pPr>
          </w:p>
        </w:tc>
      </w:tr>
      <w:tr w14:paraId="30A50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top"/>
          </w:tcPr>
          <w:p w14:paraId="35BE315F">
            <w:pPr>
              <w:spacing w:line="440" w:lineRule="exact"/>
              <w:jc w:val="center"/>
              <w:rPr>
                <w:rFonts w:hint="eastAsia" w:ascii="宋体" w:hAnsi="宋体" w:cs="宋体"/>
                <w:b/>
                <w:color w:val="auto"/>
                <w:sz w:val="24"/>
                <w:highlight w:val="none"/>
              </w:rPr>
            </w:pPr>
            <w:r>
              <w:rPr>
                <w:rFonts w:hint="eastAsia" w:ascii="宋体" w:hAnsi="宋体" w:cs="宋体"/>
                <w:b/>
                <w:color w:val="auto"/>
                <w:sz w:val="24"/>
                <w:highlight w:val="none"/>
              </w:rPr>
              <w:t>2</w:t>
            </w:r>
          </w:p>
        </w:tc>
        <w:tc>
          <w:tcPr>
            <w:tcW w:w="6630" w:type="dxa"/>
            <w:noWrap w:val="0"/>
            <w:vAlign w:val="top"/>
          </w:tcPr>
          <w:p w14:paraId="101CC5A6">
            <w:pPr>
              <w:spacing w:line="440" w:lineRule="exact"/>
              <w:rPr>
                <w:rFonts w:hint="eastAsia" w:ascii="宋体" w:hAnsi="宋体" w:cs="宋体"/>
                <w:b/>
                <w:color w:val="auto"/>
                <w:sz w:val="24"/>
                <w:highlight w:val="none"/>
              </w:rPr>
            </w:pPr>
            <w:r>
              <w:rPr>
                <w:rFonts w:hint="eastAsia" w:ascii="宋体" w:hAnsi="宋体" w:cs="宋体"/>
                <w:color w:val="auto"/>
                <w:spacing w:val="-6"/>
                <w:sz w:val="24"/>
                <w:highlight w:val="none"/>
              </w:rPr>
              <w:t>无法律、法规和综合比选文件规定的其他无效情形</w:t>
            </w:r>
          </w:p>
        </w:tc>
        <w:tc>
          <w:tcPr>
            <w:tcW w:w="2163" w:type="dxa"/>
            <w:noWrap w:val="0"/>
            <w:vAlign w:val="top"/>
          </w:tcPr>
          <w:p w14:paraId="16FC0859">
            <w:pPr>
              <w:spacing w:line="440" w:lineRule="exact"/>
              <w:jc w:val="center"/>
              <w:rPr>
                <w:rFonts w:hint="eastAsia" w:ascii="宋体" w:hAnsi="宋体" w:cs="宋体"/>
                <w:b/>
                <w:color w:val="auto"/>
                <w:sz w:val="24"/>
                <w:highlight w:val="none"/>
              </w:rPr>
            </w:pPr>
          </w:p>
        </w:tc>
      </w:tr>
      <w:tr w14:paraId="57A30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top"/>
          </w:tcPr>
          <w:p w14:paraId="56675EB6">
            <w:pPr>
              <w:spacing w:line="440" w:lineRule="exact"/>
              <w:jc w:val="center"/>
              <w:rPr>
                <w:rFonts w:hint="eastAsia" w:ascii="宋体" w:hAnsi="宋体" w:cs="宋体"/>
                <w:b/>
                <w:color w:val="auto"/>
                <w:sz w:val="24"/>
                <w:highlight w:val="none"/>
              </w:rPr>
            </w:pPr>
            <w:r>
              <w:rPr>
                <w:rFonts w:hint="eastAsia" w:ascii="宋体" w:hAnsi="宋体" w:cs="宋体"/>
                <w:b/>
                <w:color w:val="auto"/>
                <w:sz w:val="24"/>
                <w:highlight w:val="none"/>
              </w:rPr>
              <w:t>3</w:t>
            </w:r>
          </w:p>
        </w:tc>
        <w:tc>
          <w:tcPr>
            <w:tcW w:w="6630" w:type="dxa"/>
            <w:noWrap w:val="0"/>
            <w:vAlign w:val="top"/>
          </w:tcPr>
          <w:p w14:paraId="6479F1DA">
            <w:pPr>
              <w:spacing w:line="440" w:lineRule="exact"/>
              <w:rPr>
                <w:rFonts w:hint="eastAsia" w:ascii="宋体" w:hAnsi="宋体" w:cs="宋体"/>
                <w:b/>
                <w:color w:val="auto"/>
                <w:sz w:val="24"/>
                <w:highlight w:val="none"/>
              </w:rPr>
            </w:pPr>
            <w:r>
              <w:rPr>
                <w:rFonts w:hint="eastAsia" w:ascii="宋体" w:hAnsi="宋体" w:cs="宋体"/>
                <w:color w:val="auto"/>
                <w:spacing w:val="-6"/>
                <w:sz w:val="24"/>
                <w:highlight w:val="none"/>
              </w:rPr>
              <w:t>参选文件不含有比选人不能接受的附加条件</w:t>
            </w:r>
          </w:p>
        </w:tc>
        <w:tc>
          <w:tcPr>
            <w:tcW w:w="2163" w:type="dxa"/>
            <w:noWrap w:val="0"/>
            <w:vAlign w:val="top"/>
          </w:tcPr>
          <w:p w14:paraId="215CE11F">
            <w:pPr>
              <w:spacing w:line="440" w:lineRule="exact"/>
              <w:jc w:val="center"/>
              <w:rPr>
                <w:rFonts w:hint="eastAsia" w:ascii="宋体" w:hAnsi="宋体" w:cs="宋体"/>
                <w:b/>
                <w:color w:val="auto"/>
                <w:sz w:val="24"/>
                <w:highlight w:val="none"/>
              </w:rPr>
            </w:pPr>
          </w:p>
        </w:tc>
      </w:tr>
      <w:tr w14:paraId="47DFD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top"/>
          </w:tcPr>
          <w:p w14:paraId="510F5E94">
            <w:pPr>
              <w:spacing w:line="440" w:lineRule="exact"/>
              <w:jc w:val="center"/>
              <w:rPr>
                <w:rFonts w:hint="eastAsia" w:ascii="宋体" w:hAnsi="宋体" w:cs="宋体"/>
                <w:b/>
                <w:color w:val="auto"/>
                <w:sz w:val="24"/>
                <w:highlight w:val="none"/>
              </w:rPr>
            </w:pPr>
            <w:r>
              <w:rPr>
                <w:rFonts w:hint="eastAsia" w:ascii="宋体" w:hAnsi="宋体" w:cs="宋体"/>
                <w:b/>
                <w:color w:val="auto"/>
                <w:sz w:val="24"/>
                <w:highlight w:val="none"/>
              </w:rPr>
              <w:t>4</w:t>
            </w:r>
          </w:p>
        </w:tc>
        <w:tc>
          <w:tcPr>
            <w:tcW w:w="6630" w:type="dxa"/>
            <w:noWrap w:val="0"/>
            <w:vAlign w:val="center"/>
          </w:tcPr>
          <w:p w14:paraId="7E18DBF1">
            <w:pPr>
              <w:spacing w:line="440" w:lineRule="exact"/>
              <w:rPr>
                <w:rFonts w:hint="eastAsia" w:ascii="宋体" w:hAnsi="宋体" w:cs="宋体"/>
                <w:bCs/>
                <w:color w:val="auto"/>
                <w:sz w:val="24"/>
                <w:highlight w:val="none"/>
              </w:rPr>
            </w:pPr>
            <w:r>
              <w:rPr>
                <w:rFonts w:hint="eastAsia" w:ascii="宋体" w:hAnsi="宋体" w:cs="宋体"/>
                <w:color w:val="auto"/>
                <w:spacing w:val="-6"/>
                <w:sz w:val="24"/>
                <w:highlight w:val="none"/>
              </w:rPr>
              <w:t>报价</w:t>
            </w:r>
            <w:r>
              <w:rPr>
                <w:rFonts w:hint="eastAsia" w:ascii="宋体" w:hAnsi="宋体" w:cs="宋体"/>
                <w:color w:val="auto"/>
                <w:spacing w:val="-6"/>
                <w:sz w:val="24"/>
                <w:highlight w:val="none"/>
                <w:lang w:val="en-US" w:eastAsia="zh-CN"/>
              </w:rPr>
              <w:t>符合</w:t>
            </w:r>
            <w:r>
              <w:rPr>
                <w:rFonts w:hint="eastAsia" w:ascii="宋体" w:hAnsi="宋体" w:cs="宋体"/>
                <w:color w:val="auto"/>
                <w:spacing w:val="-6"/>
                <w:sz w:val="24"/>
                <w:highlight w:val="none"/>
              </w:rPr>
              <w:t>综合比选文件中规定的</w:t>
            </w:r>
            <w:r>
              <w:rPr>
                <w:rFonts w:hint="eastAsia" w:ascii="宋体" w:hAnsi="宋体" w:cs="宋体"/>
                <w:color w:val="auto"/>
                <w:spacing w:val="-6"/>
                <w:sz w:val="24"/>
                <w:highlight w:val="none"/>
                <w:lang w:val="en-US" w:eastAsia="zh-CN"/>
              </w:rPr>
              <w:t>比选控制价</w:t>
            </w:r>
            <w:r>
              <w:rPr>
                <w:rFonts w:hint="eastAsia" w:ascii="宋体" w:hAnsi="宋体" w:cs="宋体"/>
                <w:color w:val="auto"/>
                <w:spacing w:val="-6"/>
                <w:sz w:val="24"/>
                <w:highlight w:val="none"/>
              </w:rPr>
              <w:t>的</w:t>
            </w:r>
          </w:p>
        </w:tc>
        <w:tc>
          <w:tcPr>
            <w:tcW w:w="2163" w:type="dxa"/>
            <w:noWrap w:val="0"/>
            <w:vAlign w:val="top"/>
          </w:tcPr>
          <w:p w14:paraId="1D6E7C1C">
            <w:pPr>
              <w:spacing w:line="440" w:lineRule="exact"/>
              <w:jc w:val="center"/>
              <w:rPr>
                <w:rFonts w:hint="eastAsia" w:ascii="宋体" w:hAnsi="宋体" w:cs="宋体"/>
                <w:b/>
                <w:color w:val="auto"/>
                <w:sz w:val="24"/>
                <w:highlight w:val="none"/>
              </w:rPr>
            </w:pPr>
          </w:p>
        </w:tc>
      </w:tr>
    </w:tbl>
    <w:p w14:paraId="500F856B">
      <w:pPr>
        <w:pStyle w:val="22"/>
        <w:rPr>
          <w:rFonts w:hint="eastAsia" w:ascii="宋体" w:hAnsi="宋体" w:cs="宋体"/>
          <w:b/>
          <w:bCs/>
          <w:color w:val="auto"/>
          <w:highlight w:val="none"/>
        </w:rPr>
      </w:pPr>
    </w:p>
    <w:p w14:paraId="5BE0950D">
      <w:pPr>
        <w:pStyle w:val="22"/>
        <w:rPr>
          <w:rFonts w:hint="eastAsia" w:ascii="宋体" w:hAnsi="宋体" w:cs="宋体"/>
          <w:b/>
          <w:color w:val="auto"/>
          <w:highlight w:val="none"/>
        </w:rPr>
      </w:pPr>
    </w:p>
    <w:p w14:paraId="33F7EA5C">
      <w:pPr>
        <w:pStyle w:val="22"/>
        <w:rPr>
          <w:rFonts w:hint="eastAsia" w:ascii="宋体" w:hAnsi="宋体" w:cs="宋体"/>
          <w:b/>
          <w:color w:val="auto"/>
          <w:highlight w:val="none"/>
        </w:rPr>
      </w:pPr>
    </w:p>
    <w:p w14:paraId="22065A6D">
      <w:pPr>
        <w:pStyle w:val="22"/>
        <w:rPr>
          <w:rFonts w:hint="eastAsia" w:ascii="宋体" w:hAnsi="宋体" w:cs="宋体"/>
          <w:b/>
          <w:color w:val="auto"/>
          <w:highlight w:val="none"/>
        </w:rPr>
      </w:pPr>
    </w:p>
    <w:p w14:paraId="571EFC1B">
      <w:pPr>
        <w:pStyle w:val="22"/>
        <w:rPr>
          <w:rFonts w:hint="eastAsia" w:ascii="宋体" w:hAnsi="宋体" w:cs="宋体"/>
          <w:b/>
          <w:color w:val="auto"/>
          <w:highlight w:val="none"/>
        </w:rPr>
      </w:pPr>
    </w:p>
    <w:p w14:paraId="47CBD346">
      <w:pPr>
        <w:pStyle w:val="22"/>
        <w:rPr>
          <w:rFonts w:hint="eastAsia" w:ascii="宋体" w:hAnsi="宋体" w:cs="宋体"/>
          <w:b/>
          <w:color w:val="auto"/>
          <w:highlight w:val="none"/>
        </w:rPr>
      </w:pPr>
    </w:p>
    <w:p w14:paraId="0D832C8B">
      <w:pPr>
        <w:pStyle w:val="22"/>
        <w:rPr>
          <w:rFonts w:hint="eastAsia" w:ascii="宋体" w:hAnsi="宋体" w:cs="宋体"/>
          <w:b/>
          <w:color w:val="auto"/>
          <w:highlight w:val="none"/>
        </w:rPr>
      </w:pPr>
    </w:p>
    <w:p w14:paraId="53A6A3B9">
      <w:pPr>
        <w:pStyle w:val="22"/>
        <w:rPr>
          <w:rFonts w:hint="eastAsia" w:ascii="宋体" w:hAnsi="宋体" w:cs="宋体"/>
          <w:b/>
          <w:color w:val="auto"/>
          <w:highlight w:val="none"/>
        </w:rPr>
      </w:pPr>
    </w:p>
    <w:p w14:paraId="046EF3FA">
      <w:pPr>
        <w:pStyle w:val="22"/>
        <w:rPr>
          <w:rFonts w:hint="eastAsia" w:ascii="宋体" w:hAnsi="宋体" w:cs="宋体"/>
          <w:b/>
          <w:color w:val="auto"/>
          <w:highlight w:val="none"/>
        </w:rPr>
      </w:pPr>
    </w:p>
    <w:p w14:paraId="7B3DE185">
      <w:pPr>
        <w:pStyle w:val="22"/>
        <w:rPr>
          <w:rFonts w:hint="eastAsia" w:ascii="宋体" w:hAnsi="宋体" w:cs="宋体"/>
          <w:b/>
          <w:color w:val="auto"/>
          <w:highlight w:val="none"/>
        </w:rPr>
      </w:pPr>
    </w:p>
    <w:p w14:paraId="210444FC">
      <w:pPr>
        <w:pStyle w:val="22"/>
        <w:rPr>
          <w:rFonts w:hint="eastAsia" w:ascii="宋体" w:hAnsi="宋体" w:cs="宋体"/>
          <w:b/>
          <w:color w:val="auto"/>
          <w:highlight w:val="none"/>
        </w:rPr>
      </w:pPr>
    </w:p>
    <w:p w14:paraId="63342A8D">
      <w:pPr>
        <w:pStyle w:val="22"/>
        <w:rPr>
          <w:rFonts w:hint="eastAsia" w:ascii="宋体" w:hAnsi="宋体" w:cs="宋体"/>
          <w:b/>
          <w:color w:val="auto"/>
          <w:highlight w:val="none"/>
        </w:rPr>
      </w:pPr>
    </w:p>
    <w:p w14:paraId="70133F3E">
      <w:pPr>
        <w:pStyle w:val="22"/>
        <w:rPr>
          <w:rFonts w:hint="eastAsia" w:ascii="宋体" w:hAnsi="宋体" w:cs="宋体"/>
          <w:b/>
          <w:color w:val="auto"/>
          <w:highlight w:val="none"/>
        </w:rPr>
      </w:pPr>
    </w:p>
    <w:p w14:paraId="77B938AA">
      <w:pPr>
        <w:pStyle w:val="22"/>
        <w:rPr>
          <w:rFonts w:hint="eastAsia" w:ascii="宋体" w:hAnsi="宋体" w:cs="宋体"/>
          <w:b/>
          <w:color w:val="auto"/>
          <w:highlight w:val="none"/>
        </w:rPr>
      </w:pPr>
      <w:r>
        <w:rPr>
          <w:rFonts w:hint="eastAsia" w:ascii="宋体" w:hAnsi="宋体" w:cs="宋体"/>
          <w:b/>
          <w:color w:val="auto"/>
          <w:highlight w:val="none"/>
        </w:rPr>
        <w:t>评分细则：</w:t>
      </w:r>
    </w:p>
    <w:tbl>
      <w:tblPr>
        <w:tblStyle w:val="16"/>
        <w:tblpPr w:leftFromText="180" w:rightFromText="180" w:vertAnchor="text" w:tblpXSpec="center" w:tblpY="1"/>
        <w:tblOverlap w:val="never"/>
        <w:tblW w:w="101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1535"/>
        <w:gridCol w:w="6936"/>
      </w:tblGrid>
      <w:tr w14:paraId="597E5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7" w:hRule="exact"/>
        </w:trPr>
        <w:tc>
          <w:tcPr>
            <w:tcW w:w="1668" w:type="dxa"/>
            <w:noWrap w:val="0"/>
            <w:vAlign w:val="center"/>
          </w:tcPr>
          <w:p w14:paraId="4586A868">
            <w:pPr>
              <w:adjustRightInd w:val="0"/>
              <w:jc w:val="center"/>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评审类别</w:t>
            </w:r>
          </w:p>
        </w:tc>
        <w:tc>
          <w:tcPr>
            <w:tcW w:w="1535" w:type="dxa"/>
            <w:noWrap w:val="0"/>
            <w:vAlign w:val="center"/>
          </w:tcPr>
          <w:p w14:paraId="6DF4A253">
            <w:pPr>
              <w:adjustRightInd w:val="0"/>
              <w:jc w:val="center"/>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评审因素</w:t>
            </w:r>
          </w:p>
        </w:tc>
        <w:tc>
          <w:tcPr>
            <w:tcW w:w="6936" w:type="dxa"/>
            <w:noWrap w:val="0"/>
            <w:vAlign w:val="center"/>
          </w:tcPr>
          <w:p w14:paraId="50F5707E">
            <w:pPr>
              <w:adjustRightInd w:val="0"/>
              <w:jc w:val="center"/>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评审标准</w:t>
            </w:r>
          </w:p>
        </w:tc>
      </w:tr>
      <w:tr w14:paraId="05EBD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2" w:hRule="exact"/>
        </w:trPr>
        <w:tc>
          <w:tcPr>
            <w:tcW w:w="1668" w:type="dxa"/>
            <w:noWrap w:val="0"/>
            <w:vAlign w:val="center"/>
          </w:tcPr>
          <w:p w14:paraId="0D24B35E">
            <w:pPr>
              <w:pStyle w:val="23"/>
              <w:tabs>
                <w:tab w:val="left" w:pos="0"/>
                <w:tab w:val="left" w:pos="265"/>
              </w:tabs>
              <w:autoSpaceDE w:val="0"/>
              <w:autoSpaceDN w:val="0"/>
              <w:adjustRightInd w:val="0"/>
              <w:snapToGrid w:val="0"/>
              <w:spacing w:line="360" w:lineRule="auto"/>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报价分</w:t>
            </w:r>
          </w:p>
          <w:p w14:paraId="6B9FCA0E">
            <w:pPr>
              <w:pStyle w:val="23"/>
              <w:tabs>
                <w:tab w:val="left" w:pos="0"/>
                <w:tab w:val="left" w:pos="265"/>
              </w:tabs>
              <w:autoSpaceDE w:val="0"/>
              <w:autoSpaceDN w:val="0"/>
              <w:adjustRightInd w:val="0"/>
              <w:snapToGrid w:val="0"/>
              <w:spacing w:line="360" w:lineRule="auto"/>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0分）</w:t>
            </w:r>
          </w:p>
        </w:tc>
        <w:tc>
          <w:tcPr>
            <w:tcW w:w="1535" w:type="dxa"/>
            <w:noWrap w:val="0"/>
            <w:vAlign w:val="center"/>
          </w:tcPr>
          <w:p w14:paraId="0404BB1D">
            <w:pPr>
              <w:pStyle w:val="21"/>
              <w:numPr>
                <w:ilvl w:val="0"/>
                <w:numId w:val="0"/>
              </w:numPr>
              <w:ind w:lef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参选报价</w:t>
            </w:r>
          </w:p>
          <w:p w14:paraId="5D060BB2">
            <w:pPr>
              <w:pStyle w:val="21"/>
              <w:numPr>
                <w:ilvl w:val="0"/>
                <w:numId w:val="0"/>
              </w:numPr>
              <w:ind w:lef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（30分）</w:t>
            </w:r>
          </w:p>
        </w:tc>
        <w:tc>
          <w:tcPr>
            <w:tcW w:w="6936" w:type="dxa"/>
            <w:noWrap w:val="0"/>
            <w:vAlign w:val="center"/>
          </w:tcPr>
          <w:p w14:paraId="22266BAA">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en-US" w:eastAsia="zh-CN"/>
              </w:rPr>
              <w:t>参</w:t>
            </w:r>
            <w:r>
              <w:rPr>
                <w:rFonts w:hint="eastAsia" w:ascii="宋体" w:hAnsi="宋体" w:eastAsia="宋体" w:cs="宋体"/>
                <w:b/>
                <w:bCs/>
                <w:color w:val="auto"/>
                <w:sz w:val="24"/>
                <w:szCs w:val="24"/>
                <w:highlight w:val="none"/>
                <w:lang w:val="zh-CN"/>
              </w:rPr>
              <w:t>选报价得分计算：</w:t>
            </w:r>
          </w:p>
          <w:p w14:paraId="1E95E690">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1、</w:t>
            </w:r>
            <w:r>
              <w:rPr>
                <w:rFonts w:hint="eastAsia" w:ascii="宋体" w:hAnsi="宋体" w:cs="宋体"/>
                <w:b/>
                <w:bCs/>
                <w:color w:val="auto"/>
                <w:sz w:val="24"/>
                <w:szCs w:val="24"/>
                <w:highlight w:val="none"/>
                <w:lang w:val="zh-CN"/>
              </w:rPr>
              <w:t>起始</w:t>
            </w:r>
            <w:r>
              <w:rPr>
                <w:rFonts w:hint="eastAsia" w:ascii="宋体" w:hAnsi="宋体" w:eastAsia="宋体" w:cs="宋体"/>
                <w:b/>
                <w:bCs/>
                <w:color w:val="auto"/>
                <w:sz w:val="24"/>
                <w:szCs w:val="24"/>
                <w:highlight w:val="none"/>
                <w:lang w:val="zh-CN"/>
              </w:rPr>
              <w:t>租金报价（15分）</w:t>
            </w:r>
          </w:p>
          <w:p w14:paraId="0EE48CC9">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val="0"/>
                <w:bCs w:val="0"/>
                <w:color w:val="auto"/>
                <w:sz w:val="24"/>
                <w:szCs w:val="24"/>
                <w:highlight w:val="none"/>
                <w:lang w:val="zh-CN"/>
              </w:rPr>
            </w:pPr>
            <w:r>
              <w:rPr>
                <w:rFonts w:hint="eastAsia" w:ascii="宋体" w:hAnsi="宋体" w:eastAsia="宋体" w:cs="宋体"/>
                <w:b w:val="0"/>
                <w:bCs w:val="0"/>
                <w:color w:val="auto"/>
                <w:sz w:val="24"/>
                <w:szCs w:val="24"/>
                <w:highlight w:val="none"/>
                <w:lang w:val="zh-CN"/>
              </w:rPr>
              <w:t>参选人对</w:t>
            </w:r>
            <w:r>
              <w:rPr>
                <w:rFonts w:hint="eastAsia" w:ascii="宋体" w:hAnsi="宋体" w:cs="宋体"/>
                <w:b w:val="0"/>
                <w:bCs w:val="0"/>
                <w:color w:val="auto"/>
                <w:sz w:val="24"/>
                <w:szCs w:val="24"/>
                <w:highlight w:val="none"/>
                <w:lang w:val="zh-CN"/>
              </w:rPr>
              <w:t>起始</w:t>
            </w:r>
            <w:r>
              <w:rPr>
                <w:rFonts w:hint="eastAsia" w:ascii="宋体" w:hAnsi="宋体" w:eastAsia="宋体" w:cs="宋体"/>
                <w:b w:val="0"/>
                <w:bCs w:val="0"/>
                <w:color w:val="auto"/>
                <w:sz w:val="24"/>
                <w:szCs w:val="24"/>
                <w:highlight w:val="none"/>
                <w:lang w:val="zh-CN"/>
              </w:rPr>
              <w:t>租金进行报价，有效报价必须</w:t>
            </w:r>
            <w:r>
              <w:rPr>
                <w:rFonts w:hint="eastAsia" w:ascii="宋体" w:hAnsi="宋体" w:cs="宋体"/>
                <w:b w:val="0"/>
                <w:bCs w:val="0"/>
                <w:color w:val="auto"/>
                <w:sz w:val="24"/>
                <w:szCs w:val="24"/>
                <w:highlight w:val="none"/>
                <w:lang w:val="en-US" w:eastAsia="zh-CN"/>
              </w:rPr>
              <w:t>大于等于105万元</w:t>
            </w:r>
            <w:r>
              <w:rPr>
                <w:rFonts w:hint="eastAsia" w:ascii="宋体" w:hAnsi="宋体" w:eastAsia="宋体" w:cs="宋体"/>
                <w:b w:val="0"/>
                <w:bCs w:val="0"/>
                <w:color w:val="auto"/>
                <w:sz w:val="24"/>
                <w:szCs w:val="24"/>
                <w:highlight w:val="none"/>
                <w:lang w:val="zh-CN"/>
              </w:rPr>
              <w:t>/</w:t>
            </w:r>
            <w:r>
              <w:rPr>
                <w:rFonts w:hint="eastAsia" w:ascii="宋体" w:hAnsi="宋体" w:cs="宋体"/>
                <w:b w:val="0"/>
                <w:bCs w:val="0"/>
                <w:color w:val="auto"/>
                <w:sz w:val="24"/>
                <w:szCs w:val="24"/>
                <w:highlight w:val="none"/>
                <w:lang w:val="en-US" w:eastAsia="zh-CN"/>
              </w:rPr>
              <w:t>年</w:t>
            </w:r>
            <w:r>
              <w:rPr>
                <w:rFonts w:hint="eastAsia" w:ascii="宋体" w:hAnsi="宋体" w:eastAsia="宋体" w:cs="宋体"/>
                <w:b w:val="0"/>
                <w:bCs w:val="0"/>
                <w:color w:val="auto"/>
                <w:sz w:val="24"/>
                <w:szCs w:val="24"/>
                <w:highlight w:val="none"/>
                <w:lang w:val="zh-CN"/>
              </w:rPr>
              <w:t>，满足综合比选文件要求且租金报价最高的为评标基准价，其价格分为满分15分。其他参选人的价格分统一按下列公式计算：</w:t>
            </w:r>
          </w:p>
          <w:p w14:paraId="04FFF497">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val="0"/>
                <w:bCs w:val="0"/>
                <w:color w:val="auto"/>
                <w:sz w:val="24"/>
                <w:szCs w:val="24"/>
                <w:highlight w:val="none"/>
                <w:lang w:val="zh-CN"/>
              </w:rPr>
            </w:pPr>
            <w:r>
              <w:rPr>
                <w:rFonts w:hint="eastAsia" w:ascii="宋体" w:hAnsi="宋体" w:eastAsia="宋体" w:cs="宋体"/>
                <w:b w:val="0"/>
                <w:bCs w:val="0"/>
                <w:color w:val="auto"/>
                <w:sz w:val="24"/>
                <w:szCs w:val="24"/>
                <w:highlight w:val="none"/>
                <w:lang w:val="zh-CN"/>
              </w:rPr>
              <w:t>参选报价得分=（参选报价/评标基准价）×15%×100，计算分数时四舍五入取小数点后两位。</w:t>
            </w:r>
          </w:p>
          <w:p w14:paraId="366084DD">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2、</w:t>
            </w:r>
            <w:r>
              <w:rPr>
                <w:rFonts w:hint="eastAsia" w:ascii="宋体" w:hAnsi="宋体" w:cs="宋体"/>
                <w:b/>
                <w:bCs/>
                <w:color w:val="auto"/>
                <w:sz w:val="24"/>
                <w:szCs w:val="24"/>
                <w:highlight w:val="none"/>
                <w:lang w:val="zh-CN"/>
              </w:rPr>
              <w:t>每</w:t>
            </w:r>
            <w:r>
              <w:rPr>
                <w:rFonts w:hint="eastAsia" w:ascii="宋体" w:hAnsi="宋体" w:cs="宋体"/>
                <w:b/>
                <w:bCs/>
                <w:color w:val="auto"/>
                <w:sz w:val="24"/>
                <w:szCs w:val="24"/>
                <w:highlight w:val="none"/>
                <w:lang w:val="en-US" w:eastAsia="zh-CN"/>
              </w:rPr>
              <w:t>三</w:t>
            </w:r>
            <w:r>
              <w:rPr>
                <w:rFonts w:hint="eastAsia" w:ascii="宋体" w:hAnsi="宋体" w:cs="宋体"/>
                <w:b/>
                <w:bCs/>
                <w:color w:val="auto"/>
                <w:sz w:val="24"/>
                <w:szCs w:val="24"/>
                <w:highlight w:val="none"/>
                <w:lang w:val="zh-CN"/>
              </w:rPr>
              <w:t>年</w:t>
            </w:r>
            <w:r>
              <w:rPr>
                <w:rFonts w:hint="eastAsia" w:ascii="宋体" w:hAnsi="宋体" w:eastAsia="宋体" w:cs="宋体"/>
                <w:b/>
                <w:bCs/>
                <w:color w:val="auto"/>
                <w:sz w:val="24"/>
                <w:szCs w:val="24"/>
                <w:highlight w:val="none"/>
                <w:lang w:val="zh-CN"/>
              </w:rPr>
              <w:t>租金单价递增比例（15分）</w:t>
            </w:r>
          </w:p>
          <w:p w14:paraId="3E2A9CAE">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val="0"/>
                <w:bCs w:val="0"/>
                <w:color w:val="auto"/>
                <w:sz w:val="24"/>
                <w:szCs w:val="24"/>
                <w:highlight w:val="none"/>
                <w:lang w:val="zh-CN"/>
              </w:rPr>
            </w:pPr>
            <w:r>
              <w:rPr>
                <w:rFonts w:hint="eastAsia" w:ascii="宋体" w:hAnsi="宋体" w:eastAsia="宋体" w:cs="宋体"/>
                <w:b w:val="0"/>
                <w:bCs w:val="0"/>
                <w:color w:val="auto"/>
                <w:sz w:val="24"/>
                <w:szCs w:val="24"/>
                <w:highlight w:val="none"/>
                <w:lang w:val="zh-CN"/>
              </w:rPr>
              <w:t>参选人响应并承诺租金</w:t>
            </w:r>
            <w:r>
              <w:rPr>
                <w:rFonts w:hint="eastAsia" w:ascii="宋体" w:hAnsi="宋体" w:cs="宋体"/>
                <w:b w:val="0"/>
                <w:bCs w:val="0"/>
                <w:color w:val="auto"/>
                <w:sz w:val="24"/>
                <w:szCs w:val="24"/>
                <w:highlight w:val="none"/>
                <w:lang w:val="zh-CN"/>
              </w:rPr>
              <w:t>每</w:t>
            </w:r>
            <w:r>
              <w:rPr>
                <w:rFonts w:hint="eastAsia" w:ascii="宋体" w:hAnsi="宋体" w:cs="宋体"/>
                <w:b w:val="0"/>
                <w:bCs w:val="0"/>
                <w:color w:val="auto"/>
                <w:sz w:val="24"/>
                <w:szCs w:val="24"/>
                <w:highlight w:val="none"/>
                <w:lang w:val="en-US" w:eastAsia="zh-CN"/>
              </w:rPr>
              <w:t>三</w:t>
            </w:r>
            <w:r>
              <w:rPr>
                <w:rFonts w:hint="eastAsia" w:ascii="宋体" w:hAnsi="宋体" w:cs="宋体"/>
                <w:b w:val="0"/>
                <w:bCs w:val="0"/>
                <w:color w:val="auto"/>
                <w:sz w:val="24"/>
                <w:szCs w:val="24"/>
                <w:highlight w:val="none"/>
                <w:lang w:val="zh-CN"/>
              </w:rPr>
              <w:t>年</w:t>
            </w:r>
            <w:r>
              <w:rPr>
                <w:rFonts w:hint="eastAsia" w:ascii="宋体" w:hAnsi="宋体" w:eastAsia="宋体" w:cs="宋体"/>
                <w:b w:val="0"/>
                <w:bCs w:val="0"/>
                <w:color w:val="auto"/>
                <w:sz w:val="24"/>
                <w:szCs w:val="24"/>
                <w:highlight w:val="none"/>
                <w:lang w:val="zh-CN"/>
              </w:rPr>
              <w:t>递增5%的，响应以上报价的得15分，不响应以上要求的为无效参选。</w:t>
            </w:r>
          </w:p>
          <w:p w14:paraId="6E4B1225">
            <w:pPr>
              <w:pStyle w:val="21"/>
              <w:keepNext w:val="0"/>
              <w:keepLines w:val="0"/>
              <w:pageBreakBefore w:val="0"/>
              <w:widowControl w:val="0"/>
              <w:numPr>
                <w:ilvl w:val="0"/>
                <w:numId w:val="0"/>
              </w:numPr>
              <w:kinsoku/>
              <w:wordWrap/>
              <w:overflowPunct/>
              <w:topLinePunct w:val="0"/>
              <w:autoSpaceDE/>
              <w:autoSpaceDN/>
              <w:bidi w:val="0"/>
              <w:snapToGrid/>
              <w:spacing w:before="0" w:line="360" w:lineRule="auto"/>
              <w:ind w:leftChars="0"/>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zh-CN"/>
              </w:rPr>
              <w:t>评审依据：租金报价按照参选人的报价评审，</w:t>
            </w:r>
            <w:r>
              <w:rPr>
                <w:rFonts w:hint="eastAsia" w:hAnsi="宋体" w:cs="宋体"/>
                <w:b/>
                <w:bCs/>
                <w:color w:val="auto"/>
                <w:sz w:val="24"/>
                <w:szCs w:val="24"/>
                <w:highlight w:val="none"/>
                <w:lang w:val="zh-CN"/>
              </w:rPr>
              <w:t>每</w:t>
            </w:r>
            <w:r>
              <w:rPr>
                <w:rFonts w:hint="eastAsia" w:hAnsi="宋体" w:cs="宋体"/>
                <w:b/>
                <w:bCs/>
                <w:color w:val="auto"/>
                <w:sz w:val="24"/>
                <w:szCs w:val="24"/>
                <w:highlight w:val="none"/>
                <w:lang w:val="en-US" w:eastAsia="zh-CN"/>
              </w:rPr>
              <w:t>三</w:t>
            </w:r>
            <w:r>
              <w:rPr>
                <w:rFonts w:hint="eastAsia" w:hAnsi="宋体" w:cs="宋体"/>
                <w:b/>
                <w:bCs/>
                <w:color w:val="auto"/>
                <w:sz w:val="24"/>
                <w:szCs w:val="24"/>
                <w:highlight w:val="none"/>
                <w:lang w:val="zh-CN"/>
              </w:rPr>
              <w:t>年</w:t>
            </w:r>
            <w:r>
              <w:rPr>
                <w:rFonts w:hint="eastAsia" w:ascii="宋体" w:hAnsi="宋体" w:eastAsia="宋体" w:cs="宋体"/>
                <w:b/>
                <w:bCs/>
                <w:color w:val="auto"/>
                <w:sz w:val="24"/>
                <w:szCs w:val="24"/>
                <w:highlight w:val="none"/>
                <w:lang w:val="zh-CN"/>
              </w:rPr>
              <w:t>租金递增比例提供响应报价承诺函。</w:t>
            </w:r>
          </w:p>
        </w:tc>
      </w:tr>
      <w:tr w14:paraId="17D17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6" w:hRule="atLeast"/>
        </w:trPr>
        <w:tc>
          <w:tcPr>
            <w:tcW w:w="1668" w:type="dxa"/>
            <w:vMerge w:val="restart"/>
            <w:noWrap w:val="0"/>
            <w:vAlign w:val="center"/>
          </w:tcPr>
          <w:p w14:paraId="32629C1B">
            <w:pPr>
              <w:adjustRightInd w:val="0"/>
              <w:snapToGrid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技术分</w:t>
            </w:r>
          </w:p>
          <w:p w14:paraId="58376EAF">
            <w:pPr>
              <w:adjustRightInd w:val="0"/>
              <w:snapToGrid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40</w:t>
            </w:r>
            <w:r>
              <w:rPr>
                <w:rFonts w:hint="eastAsia" w:ascii="宋体" w:hAnsi="宋体" w:eastAsia="宋体" w:cs="宋体"/>
                <w:color w:val="auto"/>
                <w:sz w:val="24"/>
                <w:szCs w:val="24"/>
                <w:highlight w:val="none"/>
              </w:rPr>
              <w:t>分）</w:t>
            </w:r>
          </w:p>
        </w:tc>
        <w:tc>
          <w:tcPr>
            <w:tcW w:w="1535" w:type="dxa"/>
            <w:noWrap w:val="0"/>
            <w:vAlign w:val="center"/>
          </w:tcPr>
          <w:p w14:paraId="2E648160">
            <w:pPr>
              <w:snapToGrid w:val="0"/>
              <w:spacing w:line="360" w:lineRule="auto"/>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符合性审查</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分）</w:t>
            </w:r>
          </w:p>
        </w:tc>
        <w:tc>
          <w:tcPr>
            <w:tcW w:w="6936" w:type="dxa"/>
            <w:noWrap w:val="0"/>
            <w:vAlign w:val="center"/>
          </w:tcPr>
          <w:p w14:paraId="11BAB9BD">
            <w:pPr>
              <w:tabs>
                <w:tab w:val="left" w:pos="0"/>
                <w:tab w:val="left" w:pos="265"/>
              </w:tabs>
              <w:autoSpaceDE w:val="0"/>
              <w:autoSpaceDN w:val="0"/>
              <w:adjustRightInd w:val="0"/>
              <w:snapToGrid w:val="0"/>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根据参选人完全响应综合比选文件“第</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 xml:space="preserve">章 项目需求” </w:t>
            </w:r>
            <w:r>
              <w:rPr>
                <w:rFonts w:hint="eastAsia" w:ascii="宋体" w:hAnsi="宋体" w:eastAsia="宋体" w:cs="宋体"/>
                <w:color w:val="auto"/>
                <w:sz w:val="24"/>
                <w:szCs w:val="24"/>
                <w:highlight w:val="none"/>
                <w:lang w:val="en-US" w:eastAsia="zh-CN"/>
              </w:rPr>
              <w:t>服务需求</w:t>
            </w:r>
            <w:r>
              <w:rPr>
                <w:rFonts w:hint="eastAsia" w:ascii="宋体" w:hAnsi="宋体" w:eastAsia="宋体" w:cs="宋体"/>
                <w:color w:val="auto"/>
                <w:sz w:val="24"/>
                <w:szCs w:val="24"/>
                <w:highlight w:val="none"/>
              </w:rPr>
              <w:t>的得</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分，任意一项不满足作无效响应处理。</w:t>
            </w:r>
          </w:p>
          <w:p w14:paraId="604C9598">
            <w:pPr>
              <w:tabs>
                <w:tab w:val="left" w:pos="0"/>
                <w:tab w:val="left" w:pos="265"/>
              </w:tabs>
              <w:autoSpaceDE w:val="0"/>
              <w:autoSpaceDN w:val="0"/>
              <w:adjustRightInd w:val="0"/>
              <w:snapToGrid w:val="0"/>
              <w:spacing w:line="400" w:lineRule="exac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评审依据：</w:t>
            </w:r>
            <w:r>
              <w:rPr>
                <w:rFonts w:hint="eastAsia" w:ascii="宋体" w:hAnsi="宋体" w:eastAsia="宋体" w:cs="宋体"/>
                <w:b/>
                <w:bCs/>
                <w:color w:val="auto"/>
                <w:sz w:val="24"/>
                <w:szCs w:val="24"/>
                <w:highlight w:val="none"/>
                <w:lang w:eastAsia="zh-CN"/>
              </w:rPr>
              <w:t>服务需求</w:t>
            </w:r>
            <w:r>
              <w:rPr>
                <w:rFonts w:hint="eastAsia" w:ascii="宋体" w:hAnsi="宋体" w:eastAsia="宋体" w:cs="宋体"/>
                <w:b/>
                <w:bCs/>
                <w:color w:val="auto"/>
                <w:sz w:val="24"/>
                <w:szCs w:val="24"/>
                <w:highlight w:val="none"/>
              </w:rPr>
              <w:t>响应/偏离表。</w:t>
            </w:r>
          </w:p>
        </w:tc>
      </w:tr>
      <w:tr w14:paraId="59993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0" w:hRule="atLeast"/>
        </w:trPr>
        <w:tc>
          <w:tcPr>
            <w:tcW w:w="1668" w:type="dxa"/>
            <w:vMerge w:val="continue"/>
            <w:noWrap w:val="0"/>
            <w:vAlign w:val="center"/>
          </w:tcPr>
          <w:p w14:paraId="49B06AD1">
            <w:pPr>
              <w:adjustRightInd w:val="0"/>
              <w:snapToGrid w:val="0"/>
              <w:spacing w:line="360" w:lineRule="auto"/>
              <w:jc w:val="center"/>
              <w:textAlignment w:val="baseline"/>
              <w:rPr>
                <w:rFonts w:hint="eastAsia" w:ascii="宋体" w:hAnsi="宋体" w:eastAsia="宋体" w:cs="宋体"/>
                <w:color w:val="auto"/>
                <w:sz w:val="24"/>
                <w:szCs w:val="24"/>
                <w:highlight w:val="none"/>
              </w:rPr>
            </w:pPr>
          </w:p>
        </w:tc>
        <w:tc>
          <w:tcPr>
            <w:tcW w:w="1535" w:type="dxa"/>
            <w:noWrap w:val="0"/>
            <w:vAlign w:val="center"/>
          </w:tcPr>
          <w:p w14:paraId="2B8C723D">
            <w:pPr>
              <w:tabs>
                <w:tab w:val="left" w:pos="780"/>
              </w:tabs>
              <w:snapToGrid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运营方案</w:t>
            </w:r>
          </w:p>
          <w:p w14:paraId="4FFD4817">
            <w:pPr>
              <w:tabs>
                <w:tab w:val="left" w:pos="780"/>
              </w:tabs>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15</w:t>
            </w:r>
            <w:r>
              <w:rPr>
                <w:rFonts w:hint="eastAsia" w:ascii="宋体" w:hAnsi="宋体" w:eastAsia="宋体" w:cs="宋体"/>
                <w:color w:val="auto"/>
                <w:sz w:val="24"/>
                <w:szCs w:val="24"/>
                <w:highlight w:val="none"/>
              </w:rPr>
              <w:t>分）</w:t>
            </w:r>
          </w:p>
        </w:tc>
        <w:tc>
          <w:tcPr>
            <w:tcW w:w="6936" w:type="dxa"/>
            <w:noWrap w:val="0"/>
            <w:vAlign w:val="top"/>
          </w:tcPr>
          <w:p w14:paraId="7D426519">
            <w:pPr>
              <w:pStyle w:val="21"/>
              <w:numPr>
                <w:ilvl w:val="0"/>
                <w:numId w:val="0"/>
              </w:numPr>
              <w:rPr>
                <w:rFonts w:hint="eastAsia" w:hAnsi="宋体" w:cs="宋体"/>
                <w:b w:val="0"/>
                <w:bCs w:val="0"/>
                <w:color w:val="auto"/>
                <w:sz w:val="24"/>
                <w:szCs w:val="24"/>
                <w:highlight w:val="none"/>
                <w:lang w:val="en-US" w:eastAsia="zh-CN"/>
              </w:rPr>
            </w:pPr>
            <w:r>
              <w:rPr>
                <w:rFonts w:hint="eastAsia" w:hAnsi="宋体" w:cs="宋体"/>
                <w:b w:val="0"/>
                <w:bCs w:val="0"/>
                <w:color w:val="auto"/>
                <w:sz w:val="24"/>
                <w:szCs w:val="24"/>
                <w:highlight w:val="none"/>
                <w:lang w:val="en-US" w:eastAsia="zh-CN"/>
              </w:rPr>
              <w:t>参选人提供符合业态定位的经营方案（包括但不仅限于运营管理、推广方案、物业管理方案等），1.运营管理：运营方案包含本项目的招商工作整体把控和部署。完成项目整体业态规划和布局，制定、分解招商经营指标，并拟订和落实招商营运目标、招商政策的制订。组织市场调查，预测市场发展趋势，并针对市场的变化和竞争的需要提出应对策略方案。2、推广方案：在运营期内，为提升项目形象、物业增值等举办的各项营销、宣传、推广活动展开积极有效并对项目美誉度加分的市场推广活动的方案。3、物业管理方案：针对本项目制定物业管理方案，包括但不限于安保、保洁、供配电、消防系统、安全防范系统管理等方案。</w:t>
            </w:r>
          </w:p>
          <w:p w14:paraId="4BB74D19">
            <w:pPr>
              <w:pStyle w:val="21"/>
              <w:numPr>
                <w:ilvl w:val="0"/>
                <w:numId w:val="0"/>
              </w:numPr>
              <w:rPr>
                <w:rFonts w:hint="eastAsia" w:hAnsi="宋体" w:cs="宋体"/>
                <w:b w:val="0"/>
                <w:bCs w:val="0"/>
                <w:color w:val="auto"/>
                <w:sz w:val="24"/>
                <w:szCs w:val="24"/>
                <w:highlight w:val="none"/>
                <w:lang w:val="en-US" w:eastAsia="zh-CN"/>
              </w:rPr>
            </w:pPr>
            <w:r>
              <w:rPr>
                <w:rFonts w:hint="eastAsia" w:hAnsi="宋体" w:cs="宋体"/>
                <w:b w:val="0"/>
                <w:bCs w:val="0"/>
                <w:color w:val="auto"/>
                <w:sz w:val="24"/>
                <w:szCs w:val="24"/>
                <w:highlight w:val="none"/>
                <w:lang w:val="en-US" w:eastAsia="zh-CN"/>
              </w:rPr>
              <w:t>以上方案内容详细完整、满足项目需求得11-15分，方案内容基本合理可行得6-10分，方案内容一般或缺项漏项得1-5分，其他均不得分。</w:t>
            </w:r>
          </w:p>
          <w:p w14:paraId="155772AB">
            <w:pPr>
              <w:pStyle w:val="21"/>
              <w:numPr>
                <w:ilvl w:val="0"/>
                <w:numId w:val="0"/>
              </w:numPr>
              <w:rPr>
                <w:rFonts w:hint="eastAsia" w:ascii="宋体" w:hAnsi="宋体" w:eastAsia="宋体" w:cs="宋体"/>
                <w:color w:val="auto"/>
                <w:sz w:val="24"/>
                <w:szCs w:val="24"/>
                <w:highlight w:val="none"/>
              </w:rPr>
            </w:pPr>
            <w:r>
              <w:rPr>
                <w:rFonts w:hint="eastAsia" w:hAnsi="宋体" w:cs="宋体"/>
                <w:b/>
                <w:bCs/>
                <w:color w:val="auto"/>
                <w:sz w:val="24"/>
                <w:szCs w:val="24"/>
                <w:highlight w:val="none"/>
                <w:lang w:val="en-US" w:eastAsia="zh-CN"/>
              </w:rPr>
              <w:t>评审依据：参选文件中提供运营方案。</w:t>
            </w:r>
          </w:p>
        </w:tc>
      </w:tr>
      <w:tr w14:paraId="6D65C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0" w:hRule="atLeast"/>
        </w:trPr>
        <w:tc>
          <w:tcPr>
            <w:tcW w:w="1668" w:type="dxa"/>
            <w:vMerge w:val="continue"/>
            <w:noWrap w:val="0"/>
            <w:vAlign w:val="center"/>
          </w:tcPr>
          <w:p w14:paraId="43E0244F">
            <w:pPr>
              <w:adjustRightInd w:val="0"/>
              <w:snapToGrid w:val="0"/>
              <w:spacing w:line="360" w:lineRule="auto"/>
              <w:jc w:val="center"/>
              <w:textAlignment w:val="baseline"/>
              <w:rPr>
                <w:rFonts w:hint="eastAsia" w:ascii="宋体" w:hAnsi="宋体" w:eastAsia="宋体" w:cs="宋体"/>
                <w:color w:val="auto"/>
                <w:sz w:val="24"/>
                <w:szCs w:val="24"/>
                <w:highlight w:val="none"/>
              </w:rPr>
            </w:pPr>
          </w:p>
        </w:tc>
        <w:tc>
          <w:tcPr>
            <w:tcW w:w="1535" w:type="dxa"/>
            <w:noWrap w:val="0"/>
            <w:vAlign w:val="center"/>
          </w:tcPr>
          <w:p w14:paraId="04DAC5C3">
            <w:pPr>
              <w:tabs>
                <w:tab w:val="left" w:pos="780"/>
              </w:tabs>
              <w:snapToGrid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改造方案</w:t>
            </w:r>
          </w:p>
          <w:p w14:paraId="382F2BF8">
            <w:pPr>
              <w:tabs>
                <w:tab w:val="left" w:pos="780"/>
              </w:tabs>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分）</w:t>
            </w:r>
          </w:p>
        </w:tc>
        <w:tc>
          <w:tcPr>
            <w:tcW w:w="6936" w:type="dxa"/>
            <w:noWrap w:val="0"/>
            <w:vAlign w:val="top"/>
          </w:tcPr>
          <w:p w14:paraId="7EF17A7A">
            <w:pPr>
              <w:pageBreakBefore w:val="0"/>
              <w:kinsoku/>
              <w:overflowPunct/>
              <w:topLinePunct w:val="0"/>
              <w:bidi w:val="0"/>
              <w:spacing w:line="520" w:lineRule="atLeast"/>
              <w:textAlignment w:val="top"/>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iCs/>
                <w:color w:val="auto"/>
                <w:kern w:val="0"/>
                <w:sz w:val="24"/>
                <w:szCs w:val="24"/>
                <w:highlight w:val="none"/>
                <w:lang w:val="en-US" w:eastAsia="zh-CN" w:bidi="ar-SA"/>
              </w:rPr>
              <w:t>为</w:t>
            </w:r>
            <w:r>
              <w:rPr>
                <w:rFonts w:hint="eastAsia" w:ascii="宋体" w:hAnsi="宋体" w:eastAsia="宋体" w:cs="宋体"/>
                <w:b w:val="0"/>
                <w:bCs w:val="0"/>
                <w:iCs/>
                <w:color w:val="auto"/>
                <w:kern w:val="0"/>
                <w:sz w:val="24"/>
                <w:szCs w:val="24"/>
                <w:highlight w:val="none"/>
                <w:lang w:val="en-US" w:eastAsia="zh-CN" w:bidi="ar-SA"/>
              </w:rPr>
              <w:t>逐步推进智慧农贸建设</w:t>
            </w:r>
            <w:r>
              <w:rPr>
                <w:rFonts w:hint="eastAsia" w:ascii="宋体" w:hAnsi="宋体" w:cs="宋体"/>
                <w:b w:val="0"/>
                <w:bCs w:val="0"/>
                <w:iCs/>
                <w:color w:val="auto"/>
                <w:kern w:val="0"/>
                <w:sz w:val="24"/>
                <w:szCs w:val="24"/>
                <w:highlight w:val="none"/>
                <w:lang w:val="en-US" w:eastAsia="zh-CN" w:bidi="ar-SA"/>
              </w:rPr>
              <w:t>，</w:t>
            </w:r>
            <w:r>
              <w:rPr>
                <w:rFonts w:hint="eastAsia" w:ascii="宋体" w:hAnsi="宋体" w:eastAsia="宋体" w:cs="宋体"/>
                <w:b w:val="0"/>
                <w:bCs w:val="0"/>
                <w:iCs/>
                <w:color w:val="auto"/>
                <w:kern w:val="0"/>
                <w:sz w:val="24"/>
                <w:szCs w:val="24"/>
                <w:highlight w:val="none"/>
                <w:lang w:val="en-US" w:eastAsia="zh-CN" w:bidi="ar-SA"/>
              </w:rPr>
              <w:t>硬件提质改造</w:t>
            </w:r>
            <w:r>
              <w:rPr>
                <w:rFonts w:hint="eastAsia" w:ascii="宋体" w:hAnsi="宋体" w:cs="宋体"/>
                <w:b w:val="0"/>
                <w:bCs w:val="0"/>
                <w:iCs/>
                <w:color w:val="auto"/>
                <w:kern w:val="0"/>
                <w:sz w:val="24"/>
                <w:szCs w:val="24"/>
                <w:highlight w:val="none"/>
                <w:lang w:val="en-US" w:eastAsia="zh-CN" w:bidi="ar-SA"/>
              </w:rPr>
              <w:t>需配备</w:t>
            </w:r>
            <w:r>
              <w:rPr>
                <w:rFonts w:hint="eastAsia" w:ascii="宋体" w:hAnsi="宋体" w:eastAsia="宋体" w:cs="宋体"/>
                <w:b w:val="0"/>
                <w:bCs w:val="0"/>
                <w:color w:val="auto"/>
                <w:sz w:val="24"/>
                <w:szCs w:val="24"/>
                <w:highlight w:val="none"/>
                <w:lang w:val="en-US" w:eastAsia="zh-CN"/>
              </w:rPr>
              <w:t>智慧电子秤、农残检测仪、人流统计仪、智慧数据屏、智慧导航屏、智慧农贸系统等。</w:t>
            </w:r>
            <w:r>
              <w:rPr>
                <w:rFonts w:hint="eastAsia" w:ascii="宋体" w:hAnsi="宋体" w:eastAsia="宋体" w:cs="宋体"/>
                <w:b w:val="0"/>
                <w:bCs w:val="0"/>
                <w:iCs/>
                <w:color w:val="auto"/>
                <w:kern w:val="0"/>
                <w:sz w:val="24"/>
                <w:szCs w:val="24"/>
                <w:highlight w:val="none"/>
                <w:lang w:val="en-US" w:eastAsia="zh-CN" w:bidi="ar-SA"/>
              </w:rPr>
              <w:t>参选人针对本项目提供硬件提质改造方案，</w:t>
            </w:r>
            <w:r>
              <w:rPr>
                <w:rFonts w:hint="eastAsia" w:ascii="宋体" w:hAnsi="宋体" w:eastAsia="宋体" w:cs="宋体"/>
                <w:b w:val="0"/>
                <w:bCs w:val="0"/>
                <w:color w:val="auto"/>
                <w:sz w:val="24"/>
                <w:szCs w:val="24"/>
                <w:highlight w:val="none"/>
                <w:lang w:val="en-US" w:eastAsia="zh-CN"/>
              </w:rPr>
              <w:t>方案包括但不限于智能称重、溯源管理、数据监测、线上配送等智慧化功能。</w:t>
            </w:r>
          </w:p>
          <w:p w14:paraId="08AB0883">
            <w:pPr>
              <w:pStyle w:val="21"/>
              <w:numPr>
                <w:ilvl w:val="0"/>
                <w:numId w:val="0"/>
              </w:numPr>
              <w:rPr>
                <w:rFonts w:hint="eastAsia" w:ascii="宋体" w:hAnsi="宋体" w:eastAsia="宋体" w:cs="宋体"/>
                <w:b/>
                <w:bCs/>
                <w:color w:val="auto"/>
                <w:sz w:val="24"/>
                <w:szCs w:val="24"/>
                <w:highlight w:val="none"/>
                <w:lang w:val="en-US" w:eastAsia="zh-CN"/>
              </w:rPr>
            </w:pPr>
            <w:r>
              <w:rPr>
                <w:rFonts w:hint="eastAsia" w:hAnsi="宋体" w:cs="宋体"/>
                <w:b w:val="0"/>
                <w:bCs w:val="0"/>
                <w:color w:val="auto"/>
                <w:sz w:val="24"/>
                <w:szCs w:val="24"/>
                <w:highlight w:val="none"/>
                <w:lang w:val="en-US" w:eastAsia="zh-CN"/>
              </w:rPr>
              <w:t>以上方案内容详细完整、满足项目需求得11-15分，方案内容基本合理可行得6-10分，方案内容一般或缺项漏项得1-5分，其他均不得分。</w:t>
            </w:r>
          </w:p>
          <w:p w14:paraId="790F9F42">
            <w:pPr>
              <w:pStyle w:val="21"/>
              <w:numPr>
                <w:ilvl w:val="0"/>
                <w:numId w:val="0"/>
              </w:numPr>
              <w:rPr>
                <w:rFonts w:hint="eastAsia" w:hAnsi="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评审依据：</w:t>
            </w:r>
            <w:r>
              <w:rPr>
                <w:rFonts w:hint="eastAsia" w:hAnsi="宋体" w:cs="宋体"/>
                <w:b/>
                <w:bCs/>
                <w:color w:val="auto"/>
                <w:sz w:val="24"/>
                <w:szCs w:val="24"/>
                <w:highlight w:val="none"/>
                <w:lang w:val="en-US" w:eastAsia="zh-CN"/>
              </w:rPr>
              <w:t>参选文件中</w:t>
            </w:r>
            <w:r>
              <w:rPr>
                <w:rFonts w:hint="eastAsia" w:ascii="宋体" w:hAnsi="宋体" w:eastAsia="宋体" w:cs="宋体"/>
                <w:b/>
                <w:bCs/>
                <w:color w:val="auto"/>
                <w:sz w:val="24"/>
                <w:szCs w:val="24"/>
                <w:highlight w:val="none"/>
                <w:lang w:val="en-US" w:eastAsia="zh-CN"/>
              </w:rPr>
              <w:t>提供改造方案。</w:t>
            </w:r>
          </w:p>
        </w:tc>
      </w:tr>
      <w:tr w14:paraId="7D6A6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3" w:hRule="atLeast"/>
        </w:trPr>
        <w:tc>
          <w:tcPr>
            <w:tcW w:w="1668" w:type="dxa"/>
            <w:vMerge w:val="restart"/>
            <w:noWrap w:val="0"/>
            <w:vAlign w:val="top"/>
          </w:tcPr>
          <w:p w14:paraId="7CBC11EE">
            <w:pPr>
              <w:tabs>
                <w:tab w:val="left" w:pos="2940"/>
              </w:tabs>
              <w:snapToGrid w:val="0"/>
              <w:spacing w:line="360" w:lineRule="auto"/>
              <w:jc w:val="center"/>
              <w:rPr>
                <w:rFonts w:hint="eastAsia" w:ascii="宋体" w:hAnsi="宋体" w:eastAsia="宋体" w:cs="宋体"/>
                <w:b/>
                <w:bCs/>
                <w:color w:val="auto"/>
                <w:sz w:val="24"/>
                <w:szCs w:val="24"/>
                <w:highlight w:val="none"/>
                <w:lang w:val="en-US" w:eastAsia="zh-CN"/>
              </w:rPr>
            </w:pPr>
          </w:p>
          <w:p w14:paraId="5BFA4B7A">
            <w:pPr>
              <w:tabs>
                <w:tab w:val="left" w:pos="2940"/>
              </w:tabs>
              <w:snapToGrid w:val="0"/>
              <w:spacing w:line="360" w:lineRule="auto"/>
              <w:jc w:val="center"/>
              <w:rPr>
                <w:rFonts w:hint="eastAsia" w:ascii="宋体" w:hAnsi="宋体" w:eastAsia="宋体" w:cs="宋体"/>
                <w:b/>
                <w:bCs/>
                <w:color w:val="auto"/>
                <w:sz w:val="24"/>
                <w:szCs w:val="24"/>
                <w:highlight w:val="none"/>
                <w:lang w:val="en-US" w:eastAsia="zh-CN"/>
              </w:rPr>
            </w:pPr>
          </w:p>
          <w:p w14:paraId="34DE281B">
            <w:pPr>
              <w:tabs>
                <w:tab w:val="left" w:pos="2940"/>
              </w:tabs>
              <w:snapToGrid w:val="0"/>
              <w:spacing w:line="360" w:lineRule="auto"/>
              <w:jc w:val="center"/>
              <w:rPr>
                <w:rFonts w:hint="eastAsia" w:ascii="宋体" w:hAnsi="宋体" w:eastAsia="宋体" w:cs="宋体"/>
                <w:b/>
                <w:bCs/>
                <w:color w:val="auto"/>
                <w:sz w:val="24"/>
                <w:szCs w:val="24"/>
                <w:highlight w:val="none"/>
                <w:lang w:val="en-US" w:eastAsia="zh-CN"/>
              </w:rPr>
            </w:pPr>
          </w:p>
          <w:p w14:paraId="4C6B674A">
            <w:pPr>
              <w:tabs>
                <w:tab w:val="left" w:pos="2940"/>
              </w:tabs>
              <w:snapToGrid w:val="0"/>
              <w:spacing w:line="360" w:lineRule="auto"/>
              <w:jc w:val="center"/>
              <w:rPr>
                <w:rFonts w:hint="eastAsia" w:ascii="宋体" w:hAnsi="宋体" w:eastAsia="宋体" w:cs="宋体"/>
                <w:b/>
                <w:bCs/>
                <w:color w:val="auto"/>
                <w:sz w:val="24"/>
                <w:szCs w:val="24"/>
                <w:highlight w:val="none"/>
                <w:lang w:val="en-US" w:eastAsia="zh-CN"/>
              </w:rPr>
            </w:pPr>
          </w:p>
          <w:p w14:paraId="6B2741AA">
            <w:pPr>
              <w:tabs>
                <w:tab w:val="left" w:pos="2940"/>
              </w:tabs>
              <w:snapToGrid w:val="0"/>
              <w:spacing w:line="360" w:lineRule="auto"/>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商务分</w:t>
            </w:r>
          </w:p>
          <w:p w14:paraId="14ECF04E">
            <w:pPr>
              <w:tabs>
                <w:tab w:val="left" w:pos="2940"/>
              </w:tabs>
              <w:snapToGrid w:val="0"/>
              <w:spacing w:line="360" w:lineRule="auto"/>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（30分）</w:t>
            </w:r>
          </w:p>
        </w:tc>
        <w:tc>
          <w:tcPr>
            <w:tcW w:w="1535" w:type="dxa"/>
            <w:noWrap w:val="0"/>
            <w:vAlign w:val="center"/>
          </w:tcPr>
          <w:p w14:paraId="7FE110F1">
            <w:pPr>
              <w:snapToGrid w:val="0"/>
              <w:spacing w:line="360" w:lineRule="auto"/>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符合性</w:t>
            </w:r>
          </w:p>
          <w:p w14:paraId="5DAC2F63">
            <w:pPr>
              <w:snapToGrid w:val="0"/>
              <w:spacing w:line="360" w:lineRule="auto"/>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审查</w:t>
            </w:r>
          </w:p>
          <w:p w14:paraId="38124790">
            <w:pPr>
              <w:snapToGrid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分）</w:t>
            </w:r>
          </w:p>
        </w:tc>
        <w:tc>
          <w:tcPr>
            <w:tcW w:w="6936" w:type="dxa"/>
            <w:noWrap w:val="0"/>
            <w:vAlign w:val="center"/>
          </w:tcPr>
          <w:p w14:paraId="5C475FF1">
            <w:pPr>
              <w:keepNext w:val="0"/>
              <w:keepLines w:val="0"/>
              <w:pageBreakBefore w:val="0"/>
              <w:widowControl w:val="0"/>
              <w:tabs>
                <w:tab w:val="left" w:pos="0"/>
                <w:tab w:val="left" w:pos="265"/>
              </w:tabs>
              <w:kinsoku/>
              <w:wordWrap/>
              <w:overflowPunct/>
              <w:topLinePunct w:val="0"/>
              <w:autoSpaceDE w:val="0"/>
              <w:autoSpaceDN w:val="0"/>
              <w:bidi w:val="0"/>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根据参选人完全响应综合比选文件“第</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 xml:space="preserve">章 项目需求” </w:t>
            </w:r>
            <w:r>
              <w:rPr>
                <w:rFonts w:hint="eastAsia" w:ascii="宋体" w:hAnsi="宋体" w:eastAsia="宋体" w:cs="宋体"/>
                <w:color w:val="auto"/>
                <w:sz w:val="24"/>
                <w:szCs w:val="24"/>
                <w:highlight w:val="none"/>
                <w:lang w:val="en-US" w:eastAsia="zh-CN"/>
              </w:rPr>
              <w:t>商务</w:t>
            </w:r>
            <w:r>
              <w:rPr>
                <w:rFonts w:hint="eastAsia" w:ascii="宋体" w:hAnsi="宋体" w:eastAsia="宋体" w:cs="宋体"/>
                <w:color w:val="auto"/>
                <w:sz w:val="24"/>
                <w:szCs w:val="24"/>
                <w:highlight w:val="none"/>
              </w:rPr>
              <w:t>条款的得</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分，任意一项不满足作无效响应处理。</w:t>
            </w:r>
          </w:p>
          <w:p w14:paraId="663DC879">
            <w:pPr>
              <w:keepNext w:val="0"/>
              <w:keepLines w:val="0"/>
              <w:pageBreakBefore w:val="0"/>
              <w:widowControl w:val="0"/>
              <w:tabs>
                <w:tab w:val="left" w:pos="0"/>
                <w:tab w:val="left" w:pos="265"/>
              </w:tabs>
              <w:kinsoku/>
              <w:wordWrap/>
              <w:overflowPunct/>
              <w:topLinePunct w:val="0"/>
              <w:autoSpaceDE w:val="0"/>
              <w:autoSpaceDN w:val="0"/>
              <w:bidi w:val="0"/>
              <w:adjustRightInd w:val="0"/>
              <w:snapToGrid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rPr>
              <w:t>评审依据：商务条款响应/偏离表。</w:t>
            </w:r>
          </w:p>
        </w:tc>
      </w:tr>
      <w:tr w14:paraId="13663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3" w:hRule="atLeast"/>
        </w:trPr>
        <w:tc>
          <w:tcPr>
            <w:tcW w:w="1668" w:type="dxa"/>
            <w:vMerge w:val="continue"/>
            <w:noWrap w:val="0"/>
            <w:vAlign w:val="top"/>
          </w:tcPr>
          <w:p w14:paraId="31ED4F14">
            <w:pPr>
              <w:tabs>
                <w:tab w:val="left" w:pos="2940"/>
              </w:tabs>
              <w:snapToGrid w:val="0"/>
              <w:spacing w:line="360" w:lineRule="auto"/>
              <w:jc w:val="center"/>
              <w:rPr>
                <w:rFonts w:hint="eastAsia" w:ascii="宋体" w:hAnsi="宋体" w:eastAsia="宋体" w:cs="宋体"/>
                <w:b/>
                <w:bCs/>
                <w:color w:val="auto"/>
                <w:sz w:val="24"/>
                <w:szCs w:val="24"/>
                <w:highlight w:val="none"/>
                <w:lang w:val="en-US" w:eastAsia="zh-CN"/>
              </w:rPr>
            </w:pPr>
          </w:p>
        </w:tc>
        <w:tc>
          <w:tcPr>
            <w:tcW w:w="1535" w:type="dxa"/>
            <w:noWrap w:val="0"/>
            <w:vAlign w:val="center"/>
          </w:tcPr>
          <w:p w14:paraId="5F1D068B">
            <w:pPr>
              <w:tabs>
                <w:tab w:val="left" w:pos="780"/>
              </w:tabs>
              <w:snapToGrid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企业业绩</w:t>
            </w:r>
          </w:p>
          <w:p w14:paraId="0EB024F8">
            <w:pPr>
              <w:tabs>
                <w:tab w:val="left" w:pos="780"/>
              </w:tabs>
              <w:snapToGrid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15</w:t>
            </w:r>
            <w:r>
              <w:rPr>
                <w:rFonts w:hint="eastAsia" w:ascii="宋体" w:hAnsi="宋体" w:eastAsia="宋体" w:cs="宋体"/>
                <w:color w:val="auto"/>
                <w:sz w:val="24"/>
                <w:szCs w:val="24"/>
                <w:highlight w:val="none"/>
                <w:lang w:val="en-US" w:eastAsia="zh-CN"/>
              </w:rPr>
              <w:t>分）</w:t>
            </w:r>
          </w:p>
        </w:tc>
        <w:tc>
          <w:tcPr>
            <w:tcW w:w="6936" w:type="dxa"/>
            <w:noWrap w:val="0"/>
            <w:vAlign w:val="top"/>
          </w:tcPr>
          <w:p w14:paraId="0D607998">
            <w:pPr>
              <w:keepNext w:val="0"/>
              <w:keepLines w:val="0"/>
              <w:pageBreakBefore w:val="0"/>
              <w:widowControl w:val="0"/>
              <w:tabs>
                <w:tab w:val="left" w:pos="0"/>
                <w:tab w:val="left" w:pos="265"/>
              </w:tabs>
              <w:kinsoku/>
              <w:wordWrap/>
              <w:overflowPunct/>
              <w:topLinePunct w:val="0"/>
              <w:autoSpaceDE w:val="0"/>
              <w:autoSpaceDN w:val="0"/>
              <w:bidi w:val="0"/>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参选</w:t>
            </w:r>
            <w:r>
              <w:rPr>
                <w:rFonts w:hint="eastAsia" w:ascii="宋体" w:hAnsi="宋体" w:eastAsia="宋体" w:cs="宋体"/>
                <w:color w:val="auto"/>
                <w:sz w:val="24"/>
                <w:szCs w:val="24"/>
                <w:highlight w:val="none"/>
              </w:rPr>
              <w:t>人</w:t>
            </w:r>
            <w:r>
              <w:rPr>
                <w:rFonts w:hint="eastAsia" w:ascii="宋体" w:hAnsi="宋体" w:cs="宋体"/>
                <w:color w:val="auto"/>
                <w:sz w:val="24"/>
                <w:szCs w:val="24"/>
                <w:highlight w:val="none"/>
                <w:lang w:val="en-US" w:eastAsia="zh-CN"/>
              </w:rPr>
              <w:t>截止参选前60个月内</w:t>
            </w:r>
            <w:r>
              <w:rPr>
                <w:rFonts w:hint="eastAsia" w:ascii="宋体" w:hAnsi="宋体" w:eastAsia="宋体" w:cs="宋体"/>
                <w:color w:val="auto"/>
                <w:sz w:val="24"/>
                <w:szCs w:val="24"/>
                <w:highlight w:val="none"/>
              </w:rPr>
              <w:t>（以合同签订时间为准）具有与本项目类似经验的，每提供1项得</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分，本项最高得</w:t>
            </w:r>
            <w:r>
              <w:rPr>
                <w:rFonts w:hint="eastAsia" w:ascii="宋体" w:hAnsi="宋体" w:cs="宋体"/>
                <w:color w:val="auto"/>
                <w:sz w:val="24"/>
                <w:szCs w:val="24"/>
                <w:highlight w:val="none"/>
                <w:lang w:val="en-US" w:eastAsia="zh-CN"/>
              </w:rPr>
              <w:t>15</w:t>
            </w:r>
            <w:r>
              <w:rPr>
                <w:rFonts w:hint="eastAsia" w:ascii="宋体" w:hAnsi="宋体" w:eastAsia="宋体" w:cs="宋体"/>
                <w:color w:val="auto"/>
                <w:sz w:val="24"/>
                <w:szCs w:val="24"/>
                <w:highlight w:val="none"/>
              </w:rPr>
              <w:t>分。</w:t>
            </w:r>
          </w:p>
          <w:p w14:paraId="150DF00A">
            <w:pPr>
              <w:keepNext w:val="0"/>
              <w:keepLines w:val="0"/>
              <w:pageBreakBefore w:val="0"/>
              <w:widowControl w:val="0"/>
              <w:tabs>
                <w:tab w:val="left" w:pos="0"/>
                <w:tab w:val="left" w:pos="265"/>
              </w:tabs>
              <w:kinsoku/>
              <w:wordWrap/>
              <w:overflowPunct/>
              <w:topLinePunct w:val="0"/>
              <w:autoSpaceDE w:val="0"/>
              <w:autoSpaceDN w:val="0"/>
              <w:bidi w:val="0"/>
              <w:adjustRightInd w:val="0"/>
              <w:snapToGrid w:val="0"/>
              <w:spacing w:line="360" w:lineRule="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评审依据：合同(或协议)复印件和租赁期内一年缴纳成功的租金发票复印件并加盖</w:t>
            </w:r>
            <w:r>
              <w:rPr>
                <w:rFonts w:hint="eastAsia" w:ascii="宋体" w:hAnsi="宋体" w:cs="宋体"/>
                <w:b/>
                <w:bCs/>
                <w:color w:val="auto"/>
                <w:sz w:val="24"/>
                <w:szCs w:val="24"/>
                <w:highlight w:val="none"/>
                <w:lang w:val="en-US" w:eastAsia="zh-CN"/>
              </w:rPr>
              <w:t>参选</w:t>
            </w:r>
            <w:r>
              <w:rPr>
                <w:rFonts w:hint="eastAsia" w:ascii="宋体" w:hAnsi="宋体" w:eastAsia="宋体" w:cs="宋体"/>
                <w:b/>
                <w:bCs/>
                <w:color w:val="auto"/>
                <w:sz w:val="24"/>
                <w:szCs w:val="24"/>
                <w:highlight w:val="none"/>
              </w:rPr>
              <w:t>人公章</w:t>
            </w:r>
            <w:r>
              <w:rPr>
                <w:rFonts w:hint="eastAsia" w:ascii="宋体" w:hAnsi="宋体" w:eastAsia="宋体" w:cs="宋体"/>
                <w:b/>
                <w:bCs/>
                <w:color w:val="auto"/>
                <w:sz w:val="24"/>
                <w:szCs w:val="24"/>
                <w:highlight w:val="none"/>
                <w:lang w:eastAsia="zh-CN"/>
              </w:rPr>
              <w:t>。</w:t>
            </w:r>
          </w:p>
          <w:p w14:paraId="11ACC9EB">
            <w:pPr>
              <w:pStyle w:val="21"/>
              <w:keepNext w:val="0"/>
              <w:keepLines w:val="0"/>
              <w:pageBreakBefore w:val="0"/>
              <w:widowControl w:val="0"/>
              <w:numPr>
                <w:ilvl w:val="0"/>
                <w:numId w:val="0"/>
              </w:numPr>
              <w:kinsoku/>
              <w:wordWrap/>
              <w:overflowPunct/>
              <w:topLinePunct w:val="0"/>
              <w:bidi w:val="0"/>
              <w:adjustRightInd w:val="0"/>
              <w:spacing w:before="0" w:line="360" w:lineRule="auto"/>
              <w:rPr>
                <w:rFonts w:hint="default"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注:如租赁期已结束，提供租赁期结束前一年的租金发票，如租赁期末结束，提供</w:t>
            </w:r>
            <w:r>
              <w:rPr>
                <w:rFonts w:hint="eastAsia" w:hAnsi="宋体" w:cs="宋体"/>
                <w:b/>
                <w:bCs/>
                <w:color w:val="auto"/>
                <w:kern w:val="2"/>
                <w:sz w:val="24"/>
                <w:szCs w:val="24"/>
                <w:highlight w:val="none"/>
                <w:lang w:val="en-US" w:eastAsia="zh-CN" w:bidi="ar-SA"/>
              </w:rPr>
              <w:t>参选</w:t>
            </w:r>
            <w:r>
              <w:rPr>
                <w:rFonts w:hint="eastAsia" w:ascii="宋体" w:hAnsi="宋体" w:eastAsia="宋体" w:cs="宋体"/>
                <w:b/>
                <w:bCs/>
                <w:color w:val="auto"/>
                <w:kern w:val="2"/>
                <w:sz w:val="24"/>
                <w:szCs w:val="24"/>
                <w:highlight w:val="none"/>
                <w:lang w:val="en-US" w:eastAsia="zh-CN" w:bidi="ar-SA"/>
              </w:rPr>
              <w:t>时间前一年的租金发票。</w:t>
            </w:r>
          </w:p>
        </w:tc>
      </w:tr>
      <w:tr w14:paraId="6D23E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3" w:hRule="atLeast"/>
        </w:trPr>
        <w:tc>
          <w:tcPr>
            <w:tcW w:w="1668" w:type="dxa"/>
            <w:vMerge w:val="continue"/>
            <w:noWrap w:val="0"/>
            <w:vAlign w:val="top"/>
          </w:tcPr>
          <w:p w14:paraId="6219535D">
            <w:pPr>
              <w:tabs>
                <w:tab w:val="left" w:pos="2940"/>
              </w:tabs>
              <w:snapToGrid w:val="0"/>
              <w:spacing w:line="360" w:lineRule="auto"/>
              <w:jc w:val="center"/>
              <w:rPr>
                <w:rFonts w:hint="eastAsia" w:ascii="宋体" w:hAnsi="宋体" w:eastAsia="宋体" w:cs="宋体"/>
                <w:b/>
                <w:bCs/>
                <w:color w:val="auto"/>
                <w:sz w:val="24"/>
                <w:szCs w:val="24"/>
                <w:highlight w:val="none"/>
                <w:lang w:val="en-US" w:eastAsia="zh-CN"/>
              </w:rPr>
            </w:pPr>
          </w:p>
        </w:tc>
        <w:tc>
          <w:tcPr>
            <w:tcW w:w="1535" w:type="dxa"/>
            <w:noWrap w:val="0"/>
            <w:vAlign w:val="center"/>
          </w:tcPr>
          <w:p w14:paraId="66754D22">
            <w:pPr>
              <w:tabs>
                <w:tab w:val="left" w:pos="780"/>
              </w:tabs>
              <w:snapToGrid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服务承诺</w:t>
            </w:r>
          </w:p>
          <w:p w14:paraId="7FA0A710">
            <w:pPr>
              <w:tabs>
                <w:tab w:val="left" w:pos="780"/>
              </w:tabs>
              <w:snapToGrid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（5分）</w:t>
            </w:r>
          </w:p>
        </w:tc>
        <w:tc>
          <w:tcPr>
            <w:tcW w:w="6936" w:type="dxa"/>
            <w:noWrap w:val="0"/>
            <w:vAlign w:val="top"/>
          </w:tcPr>
          <w:p w14:paraId="03AC3D31">
            <w:pPr>
              <w:pStyle w:val="5"/>
              <w:pageBreakBefore w:val="0"/>
              <w:tabs>
                <w:tab w:val="left" w:pos="567"/>
              </w:tabs>
              <w:kinsoku/>
              <w:overflowPunct/>
              <w:topLinePunct w:val="0"/>
              <w:bidi w:val="0"/>
              <w:spacing w:line="520" w:lineRule="atLeas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参选人承诺近三年无食品安全违规，满足要求的得5分，否则不得分。</w:t>
            </w:r>
          </w:p>
          <w:p w14:paraId="3EFBD7A3">
            <w:pPr>
              <w:pStyle w:val="21"/>
              <w:keepNext w:val="0"/>
              <w:keepLines w:val="0"/>
              <w:pageBreakBefore w:val="0"/>
              <w:widowControl w:val="0"/>
              <w:numPr>
                <w:ilvl w:val="0"/>
                <w:numId w:val="0"/>
              </w:numPr>
              <w:kinsoku/>
              <w:wordWrap/>
              <w:overflowPunct/>
              <w:topLinePunct w:val="0"/>
              <w:bidi w:val="0"/>
              <w:adjustRightInd w:val="0"/>
              <w:spacing w:before="0" w:line="360" w:lineRule="auto"/>
              <w:rPr>
                <w:rFonts w:hint="eastAsia" w:ascii="仿宋" w:hAnsi="仿宋" w:eastAsia="仿宋" w:cs="仿宋"/>
                <w:b/>
                <w:bCs/>
                <w:color w:val="auto"/>
                <w:szCs w:val="24"/>
                <w:highlight w:val="none"/>
              </w:rPr>
            </w:pPr>
            <w:r>
              <w:rPr>
                <w:rFonts w:hint="default" w:ascii="宋体" w:hAnsi="宋体" w:eastAsia="宋体" w:cs="宋体"/>
                <w:b/>
                <w:bCs/>
                <w:color w:val="auto"/>
                <w:kern w:val="2"/>
                <w:sz w:val="24"/>
                <w:szCs w:val="24"/>
                <w:highlight w:val="none"/>
                <w:lang w:val="en-US" w:eastAsia="zh-CN" w:bidi="ar-SA"/>
              </w:rPr>
              <w:t>评审依据：</w:t>
            </w:r>
            <w:r>
              <w:rPr>
                <w:rFonts w:hint="eastAsia" w:ascii="宋体" w:hAnsi="宋体" w:eastAsia="宋体" w:cs="宋体"/>
                <w:b/>
                <w:bCs/>
                <w:color w:val="auto"/>
                <w:kern w:val="2"/>
                <w:sz w:val="24"/>
                <w:szCs w:val="24"/>
                <w:highlight w:val="none"/>
                <w:lang w:val="en-US" w:eastAsia="zh-CN" w:bidi="ar-SA"/>
              </w:rPr>
              <w:t>参选人提供承诺函，格式自拟。</w:t>
            </w:r>
          </w:p>
        </w:tc>
      </w:tr>
    </w:tbl>
    <w:p w14:paraId="6FE664D6">
      <w:pPr>
        <w:spacing w:line="500" w:lineRule="exact"/>
        <w:rPr>
          <w:rFonts w:hint="eastAsia" w:ascii="宋体" w:hAnsi="宋体" w:cs="宋体"/>
          <w:color w:val="auto"/>
          <w:sz w:val="24"/>
          <w:highlight w:val="none"/>
        </w:rPr>
      </w:pPr>
    </w:p>
    <w:p w14:paraId="307F1F9D">
      <w:pPr>
        <w:spacing w:line="500" w:lineRule="exact"/>
        <w:ind w:firstLine="564" w:firstLineChars="235"/>
        <w:rPr>
          <w:rFonts w:hint="eastAsia" w:ascii="宋体" w:hAnsi="宋体" w:cs="宋体"/>
          <w:color w:val="auto"/>
          <w:sz w:val="24"/>
          <w:highlight w:val="none"/>
        </w:rPr>
      </w:pPr>
      <w:r>
        <w:rPr>
          <w:rFonts w:hint="eastAsia" w:ascii="宋体" w:hAnsi="宋体" w:cs="宋体"/>
          <w:color w:val="auto"/>
          <w:sz w:val="24"/>
          <w:highlight w:val="none"/>
        </w:rPr>
        <w:t>注：①计分方法采用四舍五入法，保留小数点后两位数。</w:t>
      </w:r>
    </w:p>
    <w:p w14:paraId="6822FD77">
      <w:pPr>
        <w:spacing w:line="500" w:lineRule="exact"/>
        <w:ind w:firstLine="564" w:firstLineChars="235"/>
        <w:rPr>
          <w:rFonts w:hint="eastAsia" w:ascii="宋体" w:hAnsi="宋体" w:cs="宋体"/>
          <w:b/>
          <w:color w:val="auto"/>
          <w:sz w:val="24"/>
          <w:highlight w:val="none"/>
        </w:rPr>
      </w:pPr>
      <w:r>
        <w:rPr>
          <w:rFonts w:hint="eastAsia" w:ascii="宋体" w:hAnsi="宋体" w:cs="宋体"/>
          <w:color w:val="auto"/>
          <w:sz w:val="24"/>
          <w:highlight w:val="none"/>
        </w:rPr>
        <w:t>②评审委员会应当按照综合比选文件中规定的评审方法和标准，对符合性审查合格的参选文件进行商务和技术评估，综合比较与评价，评审委员会根据综合比选文件分别对参选人的参选文件中技术及商务响应情况进行评审；评审专家组成员打分时不得协商，应独立完成。</w:t>
      </w:r>
    </w:p>
    <w:p w14:paraId="6D3CB555">
      <w:pPr>
        <w:pageBreakBefore w:val="0"/>
        <w:widowControl/>
        <w:kinsoku/>
        <w:wordWrap/>
        <w:overflowPunct/>
        <w:topLinePunct w:val="0"/>
        <w:autoSpaceDE/>
        <w:autoSpaceDN/>
        <w:bidi w:val="0"/>
        <w:adjustRightInd/>
        <w:snapToGrid/>
        <w:spacing w:after="20" w:line="360" w:lineRule="auto"/>
        <w:ind w:firstLine="482" w:firstLineChars="200"/>
        <w:jc w:val="left"/>
        <w:textAlignment w:val="auto"/>
        <w:rPr>
          <w:rFonts w:hint="eastAsia" w:ascii="宋体" w:hAnsi="宋体" w:cs="宋体"/>
          <w:color w:val="auto"/>
          <w:sz w:val="24"/>
          <w:highlight w:val="none"/>
        </w:rPr>
      </w:pPr>
      <w:r>
        <w:rPr>
          <w:rFonts w:hint="eastAsia" w:ascii="宋体" w:hAnsi="宋体" w:cs="宋体"/>
          <w:b/>
          <w:bCs/>
          <w:color w:val="auto"/>
          <w:sz w:val="24"/>
          <w:highlight w:val="none"/>
        </w:rPr>
        <w:t>13、中选：</w:t>
      </w:r>
      <w:r>
        <w:rPr>
          <w:rFonts w:hint="eastAsia" w:ascii="宋体" w:hAnsi="宋体" w:cs="宋体"/>
          <w:color w:val="auto"/>
          <w:sz w:val="24"/>
          <w:highlight w:val="none"/>
        </w:rPr>
        <w:t>符合综合比选文件资格条件及全部实质性要求，且综合得分最高的参选人将被确定为中选人；</w:t>
      </w:r>
      <w:r>
        <w:rPr>
          <w:rFonts w:hint="eastAsia" w:ascii="宋体" w:hAnsi="宋体" w:cs="宋体"/>
          <w:color w:val="auto"/>
          <w:kern w:val="0"/>
          <w:sz w:val="24"/>
          <w:highlight w:val="none"/>
        </w:rPr>
        <w:t>如出现得分相同的，按价格得分由高到低顺序排列；总得分且价格得分相同的，按项目方案得分由高到低顺序排列；如总分、价格分、项目方案分均得分相同的，由评审委员会随机抽取确定中选候选人。</w:t>
      </w:r>
    </w:p>
    <w:p w14:paraId="66E1DC6A">
      <w:pPr>
        <w:spacing w:line="520" w:lineRule="exact"/>
        <w:rPr>
          <w:rFonts w:hint="eastAsia" w:ascii="宋体" w:hAnsi="宋体" w:cs="宋体"/>
          <w:b/>
          <w:bCs/>
          <w:color w:val="auto"/>
          <w:sz w:val="24"/>
          <w:highlight w:val="none"/>
        </w:rPr>
      </w:pPr>
      <w:r>
        <w:rPr>
          <w:rFonts w:hint="eastAsia" w:ascii="宋体" w:hAnsi="宋体" w:cs="宋体"/>
          <w:b/>
          <w:bCs/>
          <w:color w:val="auto"/>
          <w:sz w:val="24"/>
          <w:highlight w:val="none"/>
        </w:rPr>
        <w:t>14、废标条件</w:t>
      </w:r>
    </w:p>
    <w:p w14:paraId="066CB937">
      <w:pPr>
        <w:spacing w:line="52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参选人存在下列情况之一的，均按照废标处理：</w:t>
      </w:r>
    </w:p>
    <w:p w14:paraId="7EA4879F">
      <w:pPr>
        <w:numPr>
          <w:ilvl w:val="0"/>
          <w:numId w:val="4"/>
        </w:num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综合比选文件未按要求加盖公章，或无法定代表人或委托代理人有效签章或签名；</w:t>
      </w:r>
    </w:p>
    <w:p w14:paraId="53709FD0">
      <w:pPr>
        <w:numPr>
          <w:ilvl w:val="0"/>
          <w:numId w:val="4"/>
        </w:num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未按综合比选文件规定的格式填写，内容不全或关键字迹模糊、无法辨认的；</w:t>
      </w:r>
    </w:p>
    <w:p w14:paraId="64150EB6">
      <w:pPr>
        <w:numPr>
          <w:ilvl w:val="0"/>
          <w:numId w:val="4"/>
        </w:num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参选人递交两份或多份内容不同的参选文件，或在一份参选文件中对同一参选项目报有两个或多个报价，且未声明哪一个有效的；</w:t>
      </w:r>
    </w:p>
    <w:p w14:paraId="7CCF2A6B">
      <w:pPr>
        <w:numPr>
          <w:ilvl w:val="0"/>
          <w:numId w:val="4"/>
        </w:num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未响应综合比选文件的实质性要求和条件的；未响应综合比选文件提供完整且合格的资格后审资料的或资格后审不合格的；</w:t>
      </w:r>
    </w:p>
    <w:p w14:paraId="77EE9C36">
      <w:pPr>
        <w:numPr>
          <w:ilvl w:val="0"/>
          <w:numId w:val="4"/>
        </w:num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参选人未按要求参加比选会议的；</w:t>
      </w:r>
    </w:p>
    <w:p w14:paraId="466377CD">
      <w:pPr>
        <w:numPr>
          <w:ilvl w:val="0"/>
          <w:numId w:val="4"/>
        </w:num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与其他参选人串通参选，或者与参选人串通参选的；以他人名义参选，或者以其他方式弄虚作假的；在参选过程中有商业贿赂行为的；</w:t>
      </w:r>
    </w:p>
    <w:p w14:paraId="4F426F7D">
      <w:pPr>
        <w:numPr>
          <w:ilvl w:val="0"/>
          <w:numId w:val="4"/>
        </w:num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参选文件中承诺的参选有效期短于综合比选文件规定的；</w:t>
      </w:r>
    </w:p>
    <w:p w14:paraId="278D66BD">
      <w:pPr>
        <w:numPr>
          <w:ilvl w:val="0"/>
          <w:numId w:val="4"/>
        </w:num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因重大变故，</w:t>
      </w:r>
      <w:r>
        <w:rPr>
          <w:rFonts w:hint="eastAsia" w:ascii="宋体" w:hAnsi="宋体" w:cs="宋体"/>
          <w:color w:val="auto"/>
          <w:sz w:val="24"/>
          <w:highlight w:val="none"/>
          <w:lang w:val="en-US" w:eastAsia="zh-CN"/>
        </w:rPr>
        <w:t>本项目</w:t>
      </w:r>
      <w:r>
        <w:rPr>
          <w:rFonts w:hint="eastAsia" w:ascii="宋体" w:hAnsi="宋体" w:cs="宋体"/>
          <w:color w:val="auto"/>
          <w:sz w:val="24"/>
          <w:highlight w:val="none"/>
        </w:rPr>
        <w:t>取消</w:t>
      </w:r>
      <w:r>
        <w:rPr>
          <w:rFonts w:hint="eastAsia" w:ascii="宋体" w:hAnsi="宋体" w:cs="宋体"/>
          <w:color w:val="auto"/>
          <w:sz w:val="24"/>
          <w:highlight w:val="none"/>
          <w:lang w:eastAsia="zh-CN"/>
        </w:rPr>
        <w:t>的</w:t>
      </w:r>
      <w:r>
        <w:rPr>
          <w:rFonts w:hint="eastAsia" w:ascii="宋体" w:hAnsi="宋体" w:cs="宋体"/>
          <w:color w:val="auto"/>
          <w:sz w:val="24"/>
          <w:highlight w:val="none"/>
        </w:rPr>
        <w:t>；</w:t>
      </w:r>
    </w:p>
    <w:p w14:paraId="13FEC08D">
      <w:pPr>
        <w:numPr>
          <w:ilvl w:val="0"/>
          <w:numId w:val="4"/>
        </w:num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其他违反综合比选文件规定实质性条款要求的。</w:t>
      </w:r>
    </w:p>
    <w:p w14:paraId="5EC76F6F">
      <w:pPr>
        <w:spacing w:line="520" w:lineRule="exact"/>
        <w:rPr>
          <w:rFonts w:hint="eastAsia" w:ascii="宋体" w:hAnsi="宋体" w:cs="宋体"/>
          <w:b/>
          <w:bCs/>
          <w:color w:val="auto"/>
          <w:sz w:val="24"/>
          <w:highlight w:val="none"/>
        </w:rPr>
      </w:pPr>
      <w:r>
        <w:rPr>
          <w:rFonts w:hint="eastAsia" w:ascii="宋体" w:hAnsi="宋体" w:cs="宋体"/>
          <w:b/>
          <w:bCs/>
          <w:color w:val="auto"/>
          <w:sz w:val="24"/>
          <w:highlight w:val="none"/>
        </w:rPr>
        <w:t>15、签订合同：</w:t>
      </w:r>
    </w:p>
    <w:p w14:paraId="26D49B68">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（1）中选人收到中选通知书后，应派授权代表在15个工作日内与比选人签订合同。</w:t>
      </w:r>
    </w:p>
    <w:p w14:paraId="4E73F7CF">
      <w:pPr>
        <w:numPr>
          <w:ilvl w:val="0"/>
          <w:numId w:val="5"/>
        </w:num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综合比选文件、中选人的参选文件及比选会议评审过程中有关澄清文件均为签订合同的依据。</w:t>
      </w:r>
    </w:p>
    <w:p w14:paraId="22653995">
      <w:pPr>
        <w:spacing w:line="520" w:lineRule="exact"/>
        <w:rPr>
          <w:rFonts w:hint="eastAsia" w:ascii="宋体" w:hAnsi="宋体" w:eastAsia="宋体" w:cs="宋体"/>
          <w:b/>
          <w:bCs/>
          <w:color w:val="auto"/>
          <w:sz w:val="24"/>
          <w:highlight w:val="none"/>
          <w:lang w:eastAsia="zh-CN"/>
        </w:rPr>
      </w:pPr>
      <w:bookmarkStart w:id="42" w:name="_Toc1551"/>
      <w:bookmarkStart w:id="43" w:name="_Toc18812"/>
      <w:bookmarkStart w:id="44" w:name="_Toc29352"/>
      <w:r>
        <w:rPr>
          <w:rFonts w:hint="eastAsia" w:ascii="宋体" w:hAnsi="宋体" w:cs="宋体"/>
          <w:b/>
          <w:bCs/>
          <w:color w:val="auto"/>
          <w:sz w:val="24"/>
          <w:highlight w:val="none"/>
        </w:rPr>
        <w:t>16、</w:t>
      </w:r>
      <w:r>
        <w:rPr>
          <w:rFonts w:hint="eastAsia" w:ascii="宋体" w:hAnsi="宋体" w:cs="宋体"/>
          <w:b/>
          <w:bCs/>
          <w:color w:val="auto"/>
          <w:sz w:val="24"/>
          <w:highlight w:val="none"/>
          <w:lang w:val="en-US" w:eastAsia="zh-CN"/>
        </w:rPr>
        <w:t>租赁</w:t>
      </w:r>
      <w:r>
        <w:rPr>
          <w:rFonts w:hint="eastAsia" w:ascii="宋体" w:hAnsi="宋体" w:cs="宋体"/>
          <w:b/>
          <w:bCs/>
          <w:color w:val="auto"/>
          <w:sz w:val="24"/>
          <w:highlight w:val="none"/>
        </w:rPr>
        <w:t>保证金</w:t>
      </w:r>
      <w:bookmarkEnd w:id="42"/>
      <w:bookmarkEnd w:id="43"/>
      <w:bookmarkEnd w:id="44"/>
      <w:r>
        <w:rPr>
          <w:rFonts w:hint="eastAsia" w:ascii="宋体" w:hAnsi="宋体" w:cs="宋体"/>
          <w:b/>
          <w:bCs/>
          <w:color w:val="auto"/>
          <w:sz w:val="24"/>
          <w:highlight w:val="none"/>
          <w:lang w:eastAsia="zh-CN"/>
        </w:rPr>
        <w:t>：</w:t>
      </w:r>
    </w:p>
    <w:p w14:paraId="03F2D72B">
      <w:pPr>
        <w:spacing w:line="440" w:lineRule="exact"/>
        <w:ind w:firstLine="480" w:firstLineChars="200"/>
        <w:rPr>
          <w:rFonts w:hint="eastAsia" w:ascii="宋体" w:hAnsi="宋体" w:cs="宋体"/>
          <w:color w:val="auto"/>
          <w:sz w:val="28"/>
          <w:szCs w:val="28"/>
          <w:highlight w:val="none"/>
        </w:rPr>
      </w:pPr>
      <w:r>
        <w:rPr>
          <w:rFonts w:hint="eastAsia" w:ascii="宋体" w:hAnsi="宋体" w:cs="宋体"/>
          <w:color w:val="auto"/>
          <w:sz w:val="24"/>
          <w:highlight w:val="none"/>
          <w:lang w:val="en-US" w:eastAsia="zh-CN"/>
        </w:rPr>
        <w:t>60万元（租赁保证金应当以银行转账、电汇、支票、汇票、本票或者金融机构、担保机构出具的保函等非现金形式缴纳）</w:t>
      </w:r>
      <w:r>
        <w:rPr>
          <w:rFonts w:hint="eastAsia" w:ascii="宋体" w:hAnsi="宋体" w:cs="宋体"/>
          <w:color w:val="auto"/>
          <w:sz w:val="24"/>
          <w:highlight w:val="none"/>
        </w:rPr>
        <w:t>。</w:t>
      </w:r>
    </w:p>
    <w:p w14:paraId="6271B16F">
      <w:pPr>
        <w:spacing w:line="520" w:lineRule="exact"/>
        <w:rPr>
          <w:rFonts w:hint="eastAsia" w:ascii="宋体" w:hAnsi="宋体" w:cs="宋体"/>
          <w:b/>
          <w:bCs/>
          <w:color w:val="auto"/>
          <w:sz w:val="24"/>
          <w:highlight w:val="none"/>
        </w:rPr>
      </w:pPr>
      <w:r>
        <w:rPr>
          <w:rFonts w:hint="eastAsia" w:ascii="宋体" w:hAnsi="宋体" w:cs="宋体"/>
          <w:b/>
          <w:bCs/>
          <w:color w:val="auto"/>
          <w:sz w:val="24"/>
          <w:highlight w:val="none"/>
        </w:rPr>
        <w:t>17、代理服务费：</w:t>
      </w:r>
    </w:p>
    <w:p w14:paraId="7F8DB465">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19.1按综合比选文件“参选人须知前附表”执行。</w:t>
      </w:r>
    </w:p>
    <w:p w14:paraId="22BA8F20">
      <w:pPr>
        <w:spacing w:line="520" w:lineRule="exact"/>
        <w:rPr>
          <w:rFonts w:hint="eastAsia" w:ascii="宋体" w:hAnsi="宋体" w:cs="宋体"/>
          <w:b/>
          <w:bCs/>
          <w:color w:val="auto"/>
          <w:sz w:val="24"/>
          <w:highlight w:val="none"/>
        </w:rPr>
      </w:pPr>
      <w:r>
        <w:rPr>
          <w:rFonts w:hint="eastAsia" w:ascii="宋体" w:hAnsi="宋体" w:cs="宋体"/>
          <w:b/>
          <w:bCs/>
          <w:color w:val="auto"/>
          <w:sz w:val="24"/>
          <w:highlight w:val="none"/>
        </w:rPr>
        <w:t>18、解释权：</w:t>
      </w:r>
    </w:p>
    <w:p w14:paraId="4E26F56A">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20.1本综合比选文件解释权属于比选人。</w:t>
      </w:r>
    </w:p>
    <w:p w14:paraId="3925F355">
      <w:pPr>
        <w:pStyle w:val="2"/>
        <w:numPr>
          <w:ilvl w:val="0"/>
          <w:numId w:val="6"/>
        </w:numPr>
        <w:bidi w:val="0"/>
        <w:rPr>
          <w:rFonts w:hint="eastAsia"/>
          <w:color w:val="auto"/>
          <w:highlight w:val="none"/>
        </w:rPr>
      </w:pPr>
      <w:r>
        <w:rPr>
          <w:rFonts w:hint="eastAsia" w:ascii="宋体" w:hAnsi="宋体" w:cs="宋体"/>
          <w:b w:val="0"/>
          <w:color w:val="auto"/>
          <w:szCs w:val="32"/>
          <w:highlight w:val="none"/>
        </w:rPr>
        <w:br w:type="page"/>
      </w:r>
      <w:bookmarkStart w:id="45" w:name="_Toc16096"/>
      <w:bookmarkStart w:id="46" w:name="_Toc13312"/>
      <w:r>
        <w:rPr>
          <w:rFonts w:hint="eastAsia"/>
          <w:color w:val="auto"/>
          <w:highlight w:val="none"/>
        </w:rPr>
        <w:t>项目需求</w:t>
      </w:r>
      <w:bookmarkEnd w:id="45"/>
      <w:bookmarkEnd w:id="46"/>
    </w:p>
    <w:p w14:paraId="28D2E6D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highlight w:val="none"/>
        </w:rPr>
      </w:pPr>
      <w:r>
        <w:rPr>
          <w:rFonts w:hint="eastAsia" w:ascii="Cambria" w:hAnsi="Cambria" w:eastAsia="宋体" w:cs="Times New Roman"/>
          <w:b/>
          <w:bCs/>
          <w:color w:val="auto"/>
          <w:kern w:val="2"/>
          <w:sz w:val="30"/>
          <w:szCs w:val="32"/>
          <w:highlight w:val="none"/>
          <w:lang w:val="en-US" w:eastAsia="zh-CN" w:bidi="ar-SA"/>
        </w:rPr>
        <w:t>一、招标需求实现的目标</w:t>
      </w:r>
    </w:p>
    <w:p w14:paraId="2CE893E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经营业务必须符合国家安全、卫生、环保、市政等方面的规定和要求，以不影响周围居民的生活与安全为原则，不得经营国家法律法规及环保方面禁止的内容。</w:t>
      </w:r>
    </w:p>
    <w:p w14:paraId="60D8554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2"/>
          <w:sz w:val="28"/>
          <w:szCs w:val="28"/>
          <w:highlight w:val="none"/>
          <w:lang w:val="en-US" w:eastAsia="zh-CN" w:bidi="ar-SA"/>
        </w:rPr>
      </w:pPr>
      <w:r>
        <w:rPr>
          <w:rFonts w:hint="eastAsia" w:ascii="Cambria" w:hAnsi="Cambria" w:eastAsia="宋体" w:cs="Times New Roman"/>
          <w:b/>
          <w:bCs/>
          <w:color w:val="auto"/>
          <w:kern w:val="2"/>
          <w:sz w:val="30"/>
          <w:szCs w:val="32"/>
          <w:highlight w:val="none"/>
          <w:lang w:val="en-US" w:eastAsia="zh-CN" w:bidi="ar-SA"/>
        </w:rPr>
        <w:t>二、国家相关标准、行业标准、地方标准或者其他标准、规范</w:t>
      </w:r>
    </w:p>
    <w:p w14:paraId="0831E13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cs="宋体"/>
          <w:color w:val="auto"/>
          <w:kern w:val="2"/>
          <w:sz w:val="28"/>
          <w:szCs w:val="28"/>
          <w:highlight w:val="none"/>
          <w:lang w:val="en-US" w:eastAsia="zh-CN" w:bidi="ar-SA"/>
        </w:rPr>
        <w:t>符合</w:t>
      </w:r>
      <w:r>
        <w:rPr>
          <w:rFonts w:hint="eastAsia" w:ascii="宋体" w:hAnsi="宋体" w:eastAsia="宋体" w:cs="宋体"/>
          <w:color w:val="auto"/>
          <w:kern w:val="2"/>
          <w:sz w:val="28"/>
          <w:szCs w:val="28"/>
          <w:highlight w:val="none"/>
          <w:lang w:val="en-US" w:eastAsia="zh-CN" w:bidi="ar-SA"/>
        </w:rPr>
        <w:t>国家相关标准、行业标准、地方标准或者其他标准、规范</w:t>
      </w:r>
      <w:r>
        <w:rPr>
          <w:rFonts w:hint="eastAsia" w:ascii="宋体" w:hAnsi="宋体" w:cs="宋体"/>
          <w:color w:val="auto"/>
          <w:kern w:val="2"/>
          <w:sz w:val="28"/>
          <w:szCs w:val="28"/>
          <w:highlight w:val="none"/>
          <w:lang w:val="en-US" w:eastAsia="zh-CN" w:bidi="ar-SA"/>
        </w:rPr>
        <w:t>。</w:t>
      </w:r>
    </w:p>
    <w:p w14:paraId="75AF0A07">
      <w:pPr>
        <w:pStyle w:val="3"/>
        <w:pageBreakBefore w:val="0"/>
        <w:widowControl w:val="0"/>
        <w:numPr>
          <w:ilvl w:val="0"/>
          <w:numId w:val="0"/>
        </w:numPr>
        <w:kinsoku/>
        <w:wordWrap/>
        <w:overflowPunct/>
        <w:topLinePunct w:val="0"/>
        <w:bidi w:val="0"/>
        <w:spacing w:before="0" w:after="0" w:line="360" w:lineRule="auto"/>
        <w:textAlignment w:val="auto"/>
        <w:rPr>
          <w:rFonts w:hint="default"/>
          <w:color w:val="auto"/>
          <w:highlight w:val="none"/>
          <w:lang w:val="en-US" w:eastAsia="zh-CN"/>
        </w:rPr>
      </w:pPr>
      <w:r>
        <w:rPr>
          <w:rFonts w:hint="eastAsia" w:cs="Times New Roman"/>
          <w:b/>
          <w:bCs/>
          <w:color w:val="auto"/>
          <w:kern w:val="2"/>
          <w:sz w:val="30"/>
          <w:szCs w:val="32"/>
          <w:highlight w:val="none"/>
          <w:lang w:val="en-US" w:eastAsia="zh-CN" w:bidi="ar-SA"/>
        </w:rPr>
        <w:t>三</w:t>
      </w:r>
      <w:r>
        <w:rPr>
          <w:rFonts w:hint="eastAsia" w:ascii="Cambria" w:hAnsi="Cambria" w:eastAsia="宋体" w:cs="Times New Roman"/>
          <w:b/>
          <w:bCs/>
          <w:color w:val="auto"/>
          <w:kern w:val="2"/>
          <w:sz w:val="30"/>
          <w:szCs w:val="32"/>
          <w:highlight w:val="none"/>
          <w:lang w:val="en-US" w:eastAsia="zh-CN" w:bidi="ar-SA"/>
        </w:rPr>
        <w:t>、</w:t>
      </w:r>
      <w:r>
        <w:rPr>
          <w:rFonts w:hint="eastAsia" w:cs="Times New Roman"/>
          <w:color w:val="auto"/>
          <w:highlight w:val="none"/>
          <w:lang w:val="en-US" w:eastAsia="zh-CN"/>
        </w:rPr>
        <w:t>招租范围</w:t>
      </w:r>
    </w:p>
    <w:tbl>
      <w:tblPr>
        <w:tblStyle w:val="26"/>
        <w:tblW w:w="998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
      <w:tblGrid>
        <w:gridCol w:w="644"/>
        <w:gridCol w:w="1966"/>
        <w:gridCol w:w="2141"/>
        <w:gridCol w:w="1704"/>
        <w:gridCol w:w="2054"/>
        <w:gridCol w:w="1475"/>
      </w:tblGrid>
      <w:tr w14:paraId="5A166D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646" w:hRule="atLeast"/>
          <w:jc w:val="center"/>
        </w:trPr>
        <w:tc>
          <w:tcPr>
            <w:tcW w:w="644" w:type="dxa"/>
            <w:shd w:val="clear" w:color="auto" w:fill="auto"/>
            <w:vAlign w:val="center"/>
          </w:tcPr>
          <w:p w14:paraId="7B77D7B8">
            <w:pPr>
              <w:keepNext w:val="0"/>
              <w:keepLines w:val="0"/>
              <w:pageBreakBefore w:val="0"/>
              <w:widowControl w:val="0"/>
              <w:kinsoku/>
              <w:wordWrap/>
              <w:overflowPunct/>
              <w:topLinePunct w:val="0"/>
              <w:autoSpaceDE/>
              <w:autoSpaceDN/>
              <w:bidi w:val="0"/>
              <w:adjustRightInd/>
              <w:snapToGrid/>
              <w:spacing w:line="221" w:lineRule="auto"/>
              <w:ind w:left="114"/>
              <w:jc w:val="center"/>
              <w:textAlignment w:val="auto"/>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序号</w:t>
            </w:r>
          </w:p>
        </w:tc>
        <w:tc>
          <w:tcPr>
            <w:tcW w:w="1966" w:type="dxa"/>
            <w:shd w:val="clear" w:color="auto" w:fill="auto"/>
            <w:vAlign w:val="center"/>
          </w:tcPr>
          <w:p w14:paraId="1A5404D0">
            <w:pPr>
              <w:keepNext w:val="0"/>
              <w:keepLines w:val="0"/>
              <w:pageBreakBefore w:val="0"/>
              <w:widowControl w:val="0"/>
              <w:kinsoku/>
              <w:wordWrap/>
              <w:overflowPunct/>
              <w:topLinePunct w:val="0"/>
              <w:autoSpaceDE/>
              <w:autoSpaceDN/>
              <w:bidi w:val="0"/>
              <w:adjustRightInd/>
              <w:snapToGrid/>
              <w:spacing w:line="219" w:lineRule="auto"/>
              <w:jc w:val="center"/>
              <w:textAlignment w:val="auto"/>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农贸市场名称</w:t>
            </w:r>
          </w:p>
        </w:tc>
        <w:tc>
          <w:tcPr>
            <w:tcW w:w="2141" w:type="dxa"/>
            <w:shd w:val="clear" w:color="auto" w:fill="auto"/>
            <w:vAlign w:val="center"/>
          </w:tcPr>
          <w:p w14:paraId="33843A89">
            <w:pPr>
              <w:keepNext w:val="0"/>
              <w:keepLines w:val="0"/>
              <w:pageBreakBefore w:val="0"/>
              <w:widowControl w:val="0"/>
              <w:kinsoku/>
              <w:wordWrap/>
              <w:overflowPunct/>
              <w:topLinePunct w:val="0"/>
              <w:autoSpaceDE/>
              <w:autoSpaceDN/>
              <w:bidi w:val="0"/>
              <w:adjustRightInd/>
              <w:snapToGrid/>
              <w:spacing w:line="229" w:lineRule="auto"/>
              <w:jc w:val="center"/>
              <w:textAlignment w:val="auto"/>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地</w:t>
            </w:r>
            <w:r>
              <w:rPr>
                <w:rFonts w:ascii="宋体" w:hAnsi="宋体" w:eastAsia="宋体" w:cs="宋体"/>
                <w:color w:val="auto"/>
                <w:spacing w:val="13"/>
                <w:sz w:val="24"/>
                <w:szCs w:val="24"/>
                <w:highlight w:val="none"/>
              </w:rPr>
              <w:t xml:space="preserve">  </w:t>
            </w:r>
            <w:r>
              <w:rPr>
                <w:rFonts w:ascii="宋体" w:hAnsi="宋体" w:eastAsia="宋体" w:cs="宋体"/>
                <w:color w:val="auto"/>
                <w:spacing w:val="-3"/>
                <w:sz w:val="24"/>
                <w:szCs w:val="24"/>
                <w:highlight w:val="none"/>
              </w:rPr>
              <w:t>址</w:t>
            </w:r>
          </w:p>
        </w:tc>
        <w:tc>
          <w:tcPr>
            <w:tcW w:w="1704" w:type="dxa"/>
            <w:shd w:val="clear" w:color="auto" w:fill="auto"/>
            <w:vAlign w:val="center"/>
          </w:tcPr>
          <w:p w14:paraId="1E60DFD7">
            <w:pPr>
              <w:keepNext w:val="0"/>
              <w:keepLines w:val="0"/>
              <w:pageBreakBefore w:val="0"/>
              <w:widowControl w:val="0"/>
              <w:kinsoku/>
              <w:wordWrap/>
              <w:overflowPunct/>
              <w:topLinePunct w:val="0"/>
              <w:autoSpaceDE/>
              <w:autoSpaceDN/>
              <w:bidi w:val="0"/>
              <w:adjustRightInd/>
              <w:snapToGrid/>
              <w:spacing w:line="219" w:lineRule="auto"/>
              <w:jc w:val="center"/>
              <w:textAlignment w:val="auto"/>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面积/平方米</w:t>
            </w:r>
          </w:p>
        </w:tc>
        <w:tc>
          <w:tcPr>
            <w:tcW w:w="2054" w:type="dxa"/>
            <w:shd w:val="clear" w:color="auto" w:fill="auto"/>
            <w:vAlign w:val="center"/>
          </w:tcPr>
          <w:p w14:paraId="2505A49F">
            <w:pPr>
              <w:keepNext w:val="0"/>
              <w:keepLines w:val="0"/>
              <w:pageBreakBefore w:val="0"/>
              <w:widowControl w:val="0"/>
              <w:kinsoku/>
              <w:wordWrap/>
              <w:overflowPunct/>
              <w:topLinePunct w:val="0"/>
              <w:autoSpaceDE/>
              <w:autoSpaceDN/>
              <w:bidi w:val="0"/>
              <w:adjustRightInd/>
              <w:snapToGrid/>
              <w:spacing w:line="219" w:lineRule="auto"/>
              <w:jc w:val="center"/>
              <w:textAlignment w:val="auto"/>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分层面积</w:t>
            </w:r>
            <w:r>
              <w:rPr>
                <w:rFonts w:ascii="宋体" w:hAnsi="宋体" w:eastAsia="宋体" w:cs="宋体"/>
                <w:color w:val="auto"/>
                <w:spacing w:val="-1"/>
                <w:sz w:val="24"/>
                <w:szCs w:val="24"/>
                <w:highlight w:val="none"/>
              </w:rPr>
              <w:t>/平方米</w:t>
            </w:r>
          </w:p>
        </w:tc>
        <w:tc>
          <w:tcPr>
            <w:tcW w:w="1475" w:type="dxa"/>
            <w:shd w:val="clear" w:color="auto" w:fill="auto"/>
            <w:vAlign w:val="center"/>
          </w:tcPr>
          <w:p w14:paraId="3BCB5E1C">
            <w:pPr>
              <w:keepNext w:val="0"/>
              <w:keepLines w:val="0"/>
              <w:pageBreakBefore w:val="0"/>
              <w:widowControl w:val="0"/>
              <w:kinsoku/>
              <w:wordWrap/>
              <w:overflowPunct/>
              <w:topLinePunct w:val="0"/>
              <w:autoSpaceDE/>
              <w:autoSpaceDN/>
              <w:bidi w:val="0"/>
              <w:adjustRightInd/>
              <w:snapToGrid/>
              <w:spacing w:line="221" w:lineRule="auto"/>
              <w:jc w:val="center"/>
              <w:textAlignment w:val="auto"/>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备注</w:t>
            </w:r>
          </w:p>
        </w:tc>
      </w:tr>
      <w:tr w14:paraId="5B005A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atLeast"/>
          <w:jc w:val="center"/>
        </w:trPr>
        <w:tc>
          <w:tcPr>
            <w:tcW w:w="644" w:type="dxa"/>
            <w:shd w:val="clear" w:color="auto" w:fill="auto"/>
            <w:vAlign w:val="center"/>
          </w:tcPr>
          <w:p w14:paraId="5D5E441E">
            <w:pPr>
              <w:keepNext w:val="0"/>
              <w:keepLines w:val="0"/>
              <w:pageBreakBefore w:val="0"/>
              <w:widowControl w:val="0"/>
              <w:kinsoku/>
              <w:wordWrap/>
              <w:overflowPunct/>
              <w:topLinePunct w:val="0"/>
              <w:autoSpaceDE/>
              <w:autoSpaceDN/>
              <w:bidi w:val="0"/>
              <w:adjustRightInd/>
              <w:snapToGrid/>
              <w:spacing w:line="241" w:lineRule="auto"/>
              <w:jc w:val="center"/>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t>1</w:t>
            </w:r>
          </w:p>
        </w:tc>
        <w:tc>
          <w:tcPr>
            <w:tcW w:w="1966" w:type="dxa"/>
            <w:shd w:val="clear" w:color="auto" w:fill="auto"/>
            <w:vAlign w:val="center"/>
          </w:tcPr>
          <w:p w14:paraId="78DD132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富源花园农贸市场</w:t>
            </w:r>
          </w:p>
        </w:tc>
        <w:tc>
          <w:tcPr>
            <w:tcW w:w="2141" w:type="dxa"/>
            <w:shd w:val="clear" w:color="auto" w:fill="auto"/>
            <w:vAlign w:val="center"/>
          </w:tcPr>
          <w:p w14:paraId="67A164A1">
            <w:pPr>
              <w:keepNext w:val="0"/>
              <w:keepLines w:val="0"/>
              <w:pageBreakBefore w:val="0"/>
              <w:widowControl w:val="0"/>
              <w:kinsoku/>
              <w:wordWrap/>
              <w:overflowPunct/>
              <w:topLinePunct w:val="0"/>
              <w:autoSpaceDE/>
              <w:autoSpaceDN/>
              <w:bidi w:val="0"/>
              <w:adjustRightInd/>
              <w:snapToGrid/>
              <w:spacing w:line="22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龙兴大街66号</w:t>
            </w:r>
          </w:p>
        </w:tc>
        <w:tc>
          <w:tcPr>
            <w:tcW w:w="1704" w:type="dxa"/>
            <w:shd w:val="clear" w:color="auto" w:fill="auto"/>
            <w:vAlign w:val="center"/>
          </w:tcPr>
          <w:p w14:paraId="5FD7EF39">
            <w:pPr>
              <w:keepNext w:val="0"/>
              <w:keepLines w:val="0"/>
              <w:pageBreakBefore w:val="0"/>
              <w:widowControl w:val="0"/>
              <w:tabs>
                <w:tab w:val="left" w:pos="763"/>
                <w:tab w:val="center" w:pos="1249"/>
              </w:tabs>
              <w:kinsoku/>
              <w:wordWrap/>
              <w:overflowPunct/>
              <w:topLinePunct w:val="0"/>
              <w:autoSpaceDE/>
              <w:autoSpaceDN/>
              <w:bidi w:val="0"/>
              <w:adjustRightInd/>
              <w:snapToGrid/>
              <w:spacing w:line="239" w:lineRule="auto"/>
              <w:jc w:val="center"/>
              <w:textAlignment w:val="auto"/>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787.54</w:t>
            </w:r>
          </w:p>
        </w:tc>
        <w:tc>
          <w:tcPr>
            <w:tcW w:w="2054" w:type="dxa"/>
            <w:shd w:val="clear" w:color="auto" w:fill="auto"/>
            <w:vAlign w:val="center"/>
          </w:tcPr>
          <w:p w14:paraId="36B316C5">
            <w:pPr>
              <w:keepNext w:val="0"/>
              <w:keepLines w:val="0"/>
              <w:pageBreakBefore w:val="0"/>
              <w:widowControl w:val="0"/>
              <w:kinsoku/>
              <w:wordWrap/>
              <w:overflowPunct/>
              <w:topLinePunct w:val="0"/>
              <w:autoSpaceDE/>
              <w:autoSpaceDN/>
              <w:bidi w:val="0"/>
              <w:adjustRightInd/>
              <w:snapToGrid/>
              <w:spacing w:line="239" w:lineRule="auto"/>
              <w:jc w:val="center"/>
              <w:textAlignment w:val="auto"/>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787.54</w:t>
            </w:r>
          </w:p>
        </w:tc>
        <w:tc>
          <w:tcPr>
            <w:tcW w:w="1475" w:type="dxa"/>
            <w:shd w:val="clear" w:color="auto" w:fill="auto"/>
            <w:vAlign w:val="center"/>
          </w:tcPr>
          <w:p w14:paraId="2E2C5FA8">
            <w:pPr>
              <w:pStyle w:val="27"/>
              <w:keepNext w:val="0"/>
              <w:keepLines w:val="0"/>
              <w:pageBreakBefore w:val="0"/>
              <w:widowControl w:val="0"/>
              <w:kinsoku/>
              <w:wordWrap/>
              <w:overflowPunct/>
              <w:topLinePunct w:val="0"/>
              <w:autoSpaceDE/>
              <w:autoSpaceDN/>
              <w:bidi w:val="0"/>
              <w:adjustRightInd/>
              <w:snapToGrid/>
              <w:jc w:val="center"/>
              <w:textAlignment w:val="auto"/>
              <w:rPr>
                <w:color w:val="auto"/>
                <w:sz w:val="24"/>
                <w:szCs w:val="24"/>
                <w:highlight w:val="none"/>
              </w:rPr>
            </w:pPr>
          </w:p>
        </w:tc>
      </w:tr>
      <w:tr w14:paraId="1D12C8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atLeast"/>
          <w:jc w:val="center"/>
        </w:trPr>
        <w:tc>
          <w:tcPr>
            <w:tcW w:w="644" w:type="dxa"/>
            <w:vMerge w:val="restart"/>
            <w:tcBorders>
              <w:bottom w:val="nil"/>
            </w:tcBorders>
            <w:shd w:val="clear" w:color="auto" w:fill="auto"/>
            <w:vAlign w:val="center"/>
          </w:tcPr>
          <w:p w14:paraId="1531EABA">
            <w:pPr>
              <w:keepNext w:val="0"/>
              <w:keepLines w:val="0"/>
              <w:pageBreakBefore w:val="0"/>
              <w:widowControl w:val="0"/>
              <w:kinsoku/>
              <w:wordWrap/>
              <w:overflowPunct/>
              <w:topLinePunct w:val="0"/>
              <w:autoSpaceDE/>
              <w:autoSpaceDN/>
              <w:bidi w:val="0"/>
              <w:adjustRightInd/>
              <w:snapToGrid/>
              <w:spacing w:line="241" w:lineRule="auto"/>
              <w:jc w:val="center"/>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t>2</w:t>
            </w:r>
          </w:p>
        </w:tc>
        <w:tc>
          <w:tcPr>
            <w:tcW w:w="1966" w:type="dxa"/>
            <w:vMerge w:val="restart"/>
            <w:tcBorders>
              <w:bottom w:val="nil"/>
            </w:tcBorders>
            <w:shd w:val="clear" w:color="auto" w:fill="auto"/>
            <w:vAlign w:val="center"/>
          </w:tcPr>
          <w:p w14:paraId="658230D8">
            <w:pPr>
              <w:keepNext w:val="0"/>
              <w:keepLines w:val="0"/>
              <w:pageBreakBefore w:val="0"/>
              <w:widowControl w:val="0"/>
              <w:kinsoku/>
              <w:wordWrap/>
              <w:overflowPunct/>
              <w:topLinePunct w:val="0"/>
              <w:autoSpaceDE/>
              <w:autoSpaceDN/>
              <w:bidi w:val="0"/>
              <w:adjustRightInd/>
              <w:snapToGrid/>
              <w:spacing w:line="219" w:lineRule="auto"/>
              <w:jc w:val="center"/>
              <w:textAlignment w:val="auto"/>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新琚农贸市场</w:t>
            </w:r>
          </w:p>
        </w:tc>
        <w:tc>
          <w:tcPr>
            <w:tcW w:w="2141" w:type="dxa"/>
            <w:vMerge w:val="restart"/>
            <w:tcBorders>
              <w:bottom w:val="nil"/>
            </w:tcBorders>
            <w:shd w:val="clear" w:color="auto" w:fill="auto"/>
            <w:vAlign w:val="center"/>
          </w:tcPr>
          <w:p w14:paraId="53341861">
            <w:pPr>
              <w:keepNext w:val="0"/>
              <w:keepLines w:val="0"/>
              <w:pageBreakBefore w:val="0"/>
              <w:widowControl w:val="0"/>
              <w:kinsoku/>
              <w:wordWrap/>
              <w:overflowPunct/>
              <w:topLinePunct w:val="0"/>
              <w:autoSpaceDE/>
              <w:autoSpaceDN/>
              <w:bidi w:val="0"/>
              <w:adjustRightInd/>
              <w:snapToGrid/>
              <w:spacing w:line="220" w:lineRule="auto"/>
              <w:jc w:val="center"/>
              <w:textAlignment w:val="auto"/>
              <w:rPr>
                <w:rFonts w:ascii="宋体" w:hAnsi="宋体" w:eastAsia="宋体" w:cs="宋体"/>
                <w:color w:val="auto"/>
                <w:spacing w:val="2"/>
                <w:sz w:val="24"/>
                <w:szCs w:val="24"/>
                <w:highlight w:val="none"/>
              </w:rPr>
            </w:pPr>
            <w:r>
              <w:rPr>
                <w:rFonts w:ascii="宋体" w:hAnsi="宋体" w:eastAsia="宋体" w:cs="宋体"/>
                <w:color w:val="auto"/>
                <w:spacing w:val="2"/>
                <w:sz w:val="24"/>
                <w:szCs w:val="24"/>
                <w:highlight w:val="none"/>
              </w:rPr>
              <w:t>三清山大道1119号</w:t>
            </w:r>
          </w:p>
        </w:tc>
        <w:tc>
          <w:tcPr>
            <w:tcW w:w="1704" w:type="dxa"/>
            <w:vMerge w:val="restart"/>
            <w:tcBorders>
              <w:bottom w:val="nil"/>
            </w:tcBorders>
            <w:shd w:val="clear" w:color="auto" w:fill="auto"/>
            <w:vAlign w:val="center"/>
          </w:tcPr>
          <w:p w14:paraId="707AD384">
            <w:pPr>
              <w:keepNext w:val="0"/>
              <w:keepLines w:val="0"/>
              <w:pageBreakBefore w:val="0"/>
              <w:widowControl w:val="0"/>
              <w:kinsoku/>
              <w:wordWrap/>
              <w:overflowPunct/>
              <w:topLinePunct w:val="0"/>
              <w:autoSpaceDE/>
              <w:autoSpaceDN/>
              <w:bidi w:val="0"/>
              <w:adjustRightInd/>
              <w:snapToGrid/>
              <w:spacing w:line="239" w:lineRule="auto"/>
              <w:jc w:val="center"/>
              <w:textAlignment w:val="auto"/>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3581.95</w:t>
            </w:r>
          </w:p>
        </w:tc>
        <w:tc>
          <w:tcPr>
            <w:tcW w:w="2054" w:type="dxa"/>
            <w:shd w:val="clear" w:color="auto" w:fill="auto"/>
            <w:vAlign w:val="center"/>
          </w:tcPr>
          <w:p w14:paraId="2B1406D0">
            <w:pPr>
              <w:keepNext w:val="0"/>
              <w:keepLines w:val="0"/>
              <w:pageBreakBefore w:val="0"/>
              <w:widowControl w:val="0"/>
              <w:kinsoku/>
              <w:wordWrap/>
              <w:overflowPunct/>
              <w:topLinePunct w:val="0"/>
              <w:autoSpaceDE/>
              <w:autoSpaceDN/>
              <w:bidi w:val="0"/>
              <w:adjustRightInd/>
              <w:snapToGrid/>
              <w:spacing w:line="239" w:lineRule="auto"/>
              <w:jc w:val="center"/>
              <w:textAlignment w:val="auto"/>
              <w:rPr>
                <w:rFonts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lang w:val="en-US" w:eastAsia="zh-CN"/>
              </w:rPr>
              <w:t>一层</w:t>
            </w:r>
            <w:r>
              <w:rPr>
                <w:rFonts w:ascii="宋体" w:hAnsi="宋体" w:eastAsia="宋体" w:cs="宋体"/>
                <w:color w:val="auto"/>
                <w:spacing w:val="-3"/>
                <w:sz w:val="24"/>
                <w:szCs w:val="24"/>
                <w:highlight w:val="none"/>
              </w:rPr>
              <w:t>1778.2</w:t>
            </w:r>
          </w:p>
        </w:tc>
        <w:tc>
          <w:tcPr>
            <w:tcW w:w="1475" w:type="dxa"/>
            <w:shd w:val="clear" w:color="auto" w:fill="auto"/>
            <w:vAlign w:val="center"/>
          </w:tcPr>
          <w:p w14:paraId="5EB8FAD1">
            <w:pPr>
              <w:pStyle w:val="27"/>
              <w:keepNext w:val="0"/>
              <w:keepLines w:val="0"/>
              <w:pageBreakBefore w:val="0"/>
              <w:widowControl w:val="0"/>
              <w:kinsoku/>
              <w:wordWrap/>
              <w:overflowPunct/>
              <w:topLinePunct w:val="0"/>
              <w:autoSpaceDE/>
              <w:autoSpaceDN/>
              <w:bidi w:val="0"/>
              <w:adjustRightInd/>
              <w:snapToGrid/>
              <w:jc w:val="center"/>
              <w:textAlignment w:val="auto"/>
              <w:rPr>
                <w:color w:val="auto"/>
                <w:sz w:val="24"/>
                <w:szCs w:val="24"/>
                <w:highlight w:val="none"/>
              </w:rPr>
            </w:pPr>
          </w:p>
        </w:tc>
      </w:tr>
      <w:tr w14:paraId="553DDF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atLeast"/>
          <w:jc w:val="center"/>
        </w:trPr>
        <w:tc>
          <w:tcPr>
            <w:tcW w:w="644" w:type="dxa"/>
            <w:vMerge w:val="continue"/>
            <w:tcBorders>
              <w:top w:val="nil"/>
              <w:bottom w:val="nil"/>
            </w:tcBorders>
            <w:shd w:val="clear" w:color="auto" w:fill="auto"/>
            <w:vAlign w:val="center"/>
          </w:tcPr>
          <w:p w14:paraId="3D66430A">
            <w:pPr>
              <w:pStyle w:val="27"/>
              <w:keepNext w:val="0"/>
              <w:keepLines w:val="0"/>
              <w:pageBreakBefore w:val="0"/>
              <w:widowControl w:val="0"/>
              <w:kinsoku/>
              <w:wordWrap/>
              <w:overflowPunct/>
              <w:topLinePunct w:val="0"/>
              <w:autoSpaceDE/>
              <w:autoSpaceDN/>
              <w:bidi w:val="0"/>
              <w:adjustRightInd/>
              <w:snapToGrid/>
              <w:jc w:val="center"/>
              <w:textAlignment w:val="auto"/>
              <w:rPr>
                <w:color w:val="auto"/>
                <w:sz w:val="24"/>
                <w:szCs w:val="24"/>
                <w:highlight w:val="none"/>
              </w:rPr>
            </w:pPr>
          </w:p>
        </w:tc>
        <w:tc>
          <w:tcPr>
            <w:tcW w:w="1966" w:type="dxa"/>
            <w:vMerge w:val="continue"/>
            <w:tcBorders>
              <w:top w:val="nil"/>
              <w:bottom w:val="nil"/>
            </w:tcBorders>
            <w:shd w:val="clear" w:color="auto" w:fill="auto"/>
            <w:vAlign w:val="center"/>
          </w:tcPr>
          <w:p w14:paraId="0140B568">
            <w:pPr>
              <w:pStyle w:val="27"/>
              <w:keepNext w:val="0"/>
              <w:keepLines w:val="0"/>
              <w:pageBreakBefore w:val="0"/>
              <w:widowControl w:val="0"/>
              <w:kinsoku/>
              <w:wordWrap/>
              <w:overflowPunct/>
              <w:topLinePunct w:val="0"/>
              <w:autoSpaceDE/>
              <w:autoSpaceDN/>
              <w:bidi w:val="0"/>
              <w:adjustRightInd/>
              <w:snapToGrid/>
              <w:jc w:val="center"/>
              <w:textAlignment w:val="auto"/>
              <w:rPr>
                <w:color w:val="auto"/>
                <w:sz w:val="24"/>
                <w:szCs w:val="24"/>
                <w:highlight w:val="none"/>
              </w:rPr>
            </w:pPr>
          </w:p>
        </w:tc>
        <w:tc>
          <w:tcPr>
            <w:tcW w:w="2141" w:type="dxa"/>
            <w:vMerge w:val="continue"/>
            <w:tcBorders>
              <w:top w:val="nil"/>
              <w:bottom w:val="nil"/>
            </w:tcBorders>
            <w:shd w:val="clear" w:color="auto" w:fill="auto"/>
            <w:vAlign w:val="center"/>
          </w:tcPr>
          <w:p w14:paraId="60FFFC7D">
            <w:pPr>
              <w:keepNext w:val="0"/>
              <w:keepLines w:val="0"/>
              <w:pageBreakBefore w:val="0"/>
              <w:widowControl w:val="0"/>
              <w:kinsoku/>
              <w:wordWrap/>
              <w:overflowPunct/>
              <w:topLinePunct w:val="0"/>
              <w:autoSpaceDE/>
              <w:autoSpaceDN/>
              <w:bidi w:val="0"/>
              <w:adjustRightInd/>
              <w:snapToGrid/>
              <w:spacing w:line="220" w:lineRule="auto"/>
              <w:ind w:left="323"/>
              <w:jc w:val="center"/>
              <w:textAlignment w:val="auto"/>
              <w:rPr>
                <w:rFonts w:ascii="宋体" w:hAnsi="宋体" w:eastAsia="宋体" w:cs="宋体"/>
                <w:color w:val="auto"/>
                <w:spacing w:val="2"/>
                <w:sz w:val="24"/>
                <w:szCs w:val="24"/>
                <w:highlight w:val="none"/>
              </w:rPr>
            </w:pPr>
          </w:p>
        </w:tc>
        <w:tc>
          <w:tcPr>
            <w:tcW w:w="1704" w:type="dxa"/>
            <w:vMerge w:val="continue"/>
            <w:tcBorders>
              <w:top w:val="nil"/>
              <w:bottom w:val="nil"/>
            </w:tcBorders>
            <w:shd w:val="clear" w:color="auto" w:fill="auto"/>
            <w:vAlign w:val="center"/>
          </w:tcPr>
          <w:p w14:paraId="7A0D5087">
            <w:pPr>
              <w:pStyle w:val="27"/>
              <w:keepNext w:val="0"/>
              <w:keepLines w:val="0"/>
              <w:pageBreakBefore w:val="0"/>
              <w:widowControl w:val="0"/>
              <w:kinsoku/>
              <w:wordWrap/>
              <w:overflowPunct/>
              <w:topLinePunct w:val="0"/>
              <w:autoSpaceDE/>
              <w:autoSpaceDN/>
              <w:bidi w:val="0"/>
              <w:adjustRightInd/>
              <w:snapToGrid/>
              <w:jc w:val="center"/>
              <w:textAlignment w:val="auto"/>
              <w:rPr>
                <w:color w:val="auto"/>
                <w:sz w:val="24"/>
                <w:szCs w:val="24"/>
                <w:highlight w:val="none"/>
              </w:rPr>
            </w:pPr>
          </w:p>
        </w:tc>
        <w:tc>
          <w:tcPr>
            <w:tcW w:w="2054" w:type="dxa"/>
            <w:shd w:val="clear" w:color="auto" w:fill="auto"/>
            <w:vAlign w:val="center"/>
          </w:tcPr>
          <w:p w14:paraId="2E99B640">
            <w:pPr>
              <w:keepNext w:val="0"/>
              <w:keepLines w:val="0"/>
              <w:pageBreakBefore w:val="0"/>
              <w:widowControl w:val="0"/>
              <w:kinsoku/>
              <w:wordWrap/>
              <w:overflowPunct/>
              <w:topLinePunct w:val="0"/>
              <w:autoSpaceDE/>
              <w:autoSpaceDN/>
              <w:bidi w:val="0"/>
              <w:adjustRightInd/>
              <w:snapToGrid/>
              <w:spacing w:line="239" w:lineRule="auto"/>
              <w:jc w:val="center"/>
              <w:textAlignment w:val="auto"/>
              <w:rPr>
                <w:rFonts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lang w:val="en-US" w:eastAsia="zh-CN"/>
              </w:rPr>
              <w:t>二层</w:t>
            </w:r>
            <w:r>
              <w:rPr>
                <w:rFonts w:ascii="宋体" w:hAnsi="宋体" w:eastAsia="宋体" w:cs="宋体"/>
                <w:color w:val="auto"/>
                <w:spacing w:val="-3"/>
                <w:sz w:val="24"/>
                <w:szCs w:val="24"/>
                <w:highlight w:val="none"/>
              </w:rPr>
              <w:t>1778.2</w:t>
            </w:r>
          </w:p>
        </w:tc>
        <w:tc>
          <w:tcPr>
            <w:tcW w:w="1475" w:type="dxa"/>
            <w:shd w:val="clear" w:color="auto" w:fill="auto"/>
            <w:vAlign w:val="center"/>
          </w:tcPr>
          <w:p w14:paraId="76F6ADAA">
            <w:pPr>
              <w:pStyle w:val="27"/>
              <w:keepNext w:val="0"/>
              <w:keepLines w:val="0"/>
              <w:pageBreakBefore w:val="0"/>
              <w:widowControl w:val="0"/>
              <w:kinsoku/>
              <w:wordWrap/>
              <w:overflowPunct/>
              <w:topLinePunct w:val="0"/>
              <w:autoSpaceDE/>
              <w:autoSpaceDN/>
              <w:bidi w:val="0"/>
              <w:adjustRightInd/>
              <w:snapToGrid/>
              <w:jc w:val="center"/>
              <w:textAlignment w:val="auto"/>
              <w:rPr>
                <w:color w:val="auto"/>
                <w:sz w:val="24"/>
                <w:szCs w:val="24"/>
                <w:highlight w:val="none"/>
              </w:rPr>
            </w:pPr>
          </w:p>
        </w:tc>
      </w:tr>
      <w:tr w14:paraId="5F5AE7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646" w:hRule="atLeast"/>
          <w:jc w:val="center"/>
        </w:trPr>
        <w:tc>
          <w:tcPr>
            <w:tcW w:w="644" w:type="dxa"/>
            <w:vMerge w:val="continue"/>
            <w:tcBorders>
              <w:top w:val="nil"/>
            </w:tcBorders>
            <w:shd w:val="clear" w:color="auto" w:fill="auto"/>
            <w:vAlign w:val="center"/>
          </w:tcPr>
          <w:p w14:paraId="77B78359">
            <w:pPr>
              <w:pStyle w:val="27"/>
              <w:keepNext w:val="0"/>
              <w:keepLines w:val="0"/>
              <w:pageBreakBefore w:val="0"/>
              <w:widowControl w:val="0"/>
              <w:kinsoku/>
              <w:wordWrap/>
              <w:overflowPunct/>
              <w:topLinePunct w:val="0"/>
              <w:autoSpaceDE/>
              <w:autoSpaceDN/>
              <w:bidi w:val="0"/>
              <w:adjustRightInd/>
              <w:snapToGrid/>
              <w:jc w:val="center"/>
              <w:textAlignment w:val="auto"/>
              <w:rPr>
                <w:color w:val="auto"/>
                <w:sz w:val="24"/>
                <w:szCs w:val="24"/>
                <w:highlight w:val="none"/>
              </w:rPr>
            </w:pPr>
          </w:p>
        </w:tc>
        <w:tc>
          <w:tcPr>
            <w:tcW w:w="1966" w:type="dxa"/>
            <w:vMerge w:val="continue"/>
            <w:tcBorders>
              <w:top w:val="nil"/>
            </w:tcBorders>
            <w:shd w:val="clear" w:color="auto" w:fill="auto"/>
            <w:vAlign w:val="center"/>
          </w:tcPr>
          <w:p w14:paraId="7B8A9672">
            <w:pPr>
              <w:pStyle w:val="27"/>
              <w:keepNext w:val="0"/>
              <w:keepLines w:val="0"/>
              <w:pageBreakBefore w:val="0"/>
              <w:widowControl w:val="0"/>
              <w:kinsoku/>
              <w:wordWrap/>
              <w:overflowPunct/>
              <w:topLinePunct w:val="0"/>
              <w:autoSpaceDE/>
              <w:autoSpaceDN/>
              <w:bidi w:val="0"/>
              <w:adjustRightInd/>
              <w:snapToGrid/>
              <w:jc w:val="center"/>
              <w:textAlignment w:val="auto"/>
              <w:rPr>
                <w:color w:val="auto"/>
                <w:sz w:val="24"/>
                <w:szCs w:val="24"/>
                <w:highlight w:val="none"/>
              </w:rPr>
            </w:pPr>
          </w:p>
        </w:tc>
        <w:tc>
          <w:tcPr>
            <w:tcW w:w="2141" w:type="dxa"/>
            <w:vMerge w:val="continue"/>
            <w:tcBorders>
              <w:top w:val="nil"/>
            </w:tcBorders>
            <w:shd w:val="clear" w:color="auto" w:fill="auto"/>
            <w:vAlign w:val="center"/>
          </w:tcPr>
          <w:p w14:paraId="5D05FE7E">
            <w:pPr>
              <w:keepNext w:val="0"/>
              <w:keepLines w:val="0"/>
              <w:pageBreakBefore w:val="0"/>
              <w:widowControl w:val="0"/>
              <w:kinsoku/>
              <w:wordWrap/>
              <w:overflowPunct/>
              <w:topLinePunct w:val="0"/>
              <w:autoSpaceDE/>
              <w:autoSpaceDN/>
              <w:bidi w:val="0"/>
              <w:adjustRightInd/>
              <w:snapToGrid/>
              <w:spacing w:line="220" w:lineRule="auto"/>
              <w:ind w:left="323"/>
              <w:jc w:val="center"/>
              <w:textAlignment w:val="auto"/>
              <w:rPr>
                <w:rFonts w:ascii="宋体" w:hAnsi="宋体" w:eastAsia="宋体" w:cs="宋体"/>
                <w:color w:val="auto"/>
                <w:spacing w:val="2"/>
                <w:sz w:val="24"/>
                <w:szCs w:val="24"/>
                <w:highlight w:val="none"/>
              </w:rPr>
            </w:pPr>
          </w:p>
        </w:tc>
        <w:tc>
          <w:tcPr>
            <w:tcW w:w="1704" w:type="dxa"/>
            <w:vMerge w:val="continue"/>
            <w:tcBorders>
              <w:top w:val="nil"/>
            </w:tcBorders>
            <w:shd w:val="clear" w:color="auto" w:fill="auto"/>
            <w:vAlign w:val="center"/>
          </w:tcPr>
          <w:p w14:paraId="75EB564F">
            <w:pPr>
              <w:pStyle w:val="27"/>
              <w:keepNext w:val="0"/>
              <w:keepLines w:val="0"/>
              <w:pageBreakBefore w:val="0"/>
              <w:widowControl w:val="0"/>
              <w:kinsoku/>
              <w:wordWrap/>
              <w:overflowPunct/>
              <w:topLinePunct w:val="0"/>
              <w:autoSpaceDE/>
              <w:autoSpaceDN/>
              <w:bidi w:val="0"/>
              <w:adjustRightInd/>
              <w:snapToGrid/>
              <w:jc w:val="center"/>
              <w:textAlignment w:val="auto"/>
              <w:rPr>
                <w:color w:val="auto"/>
                <w:sz w:val="24"/>
                <w:szCs w:val="24"/>
                <w:highlight w:val="none"/>
              </w:rPr>
            </w:pPr>
          </w:p>
        </w:tc>
        <w:tc>
          <w:tcPr>
            <w:tcW w:w="2054" w:type="dxa"/>
            <w:shd w:val="clear" w:color="auto" w:fill="auto"/>
            <w:vAlign w:val="center"/>
          </w:tcPr>
          <w:p w14:paraId="68C2661A">
            <w:pPr>
              <w:keepNext w:val="0"/>
              <w:keepLines w:val="0"/>
              <w:pageBreakBefore w:val="0"/>
              <w:widowControl w:val="0"/>
              <w:kinsoku/>
              <w:wordWrap/>
              <w:overflowPunct/>
              <w:topLinePunct w:val="0"/>
              <w:autoSpaceDE/>
              <w:autoSpaceDN/>
              <w:bidi w:val="0"/>
              <w:adjustRightInd/>
              <w:snapToGrid/>
              <w:spacing w:line="239" w:lineRule="auto"/>
              <w:jc w:val="center"/>
              <w:textAlignment w:val="auto"/>
              <w:rPr>
                <w:rFonts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lang w:val="en-US" w:eastAsia="zh-CN"/>
              </w:rPr>
              <w:t>三层</w:t>
            </w:r>
            <w:r>
              <w:rPr>
                <w:rFonts w:ascii="宋体" w:hAnsi="宋体" w:eastAsia="宋体" w:cs="宋体"/>
                <w:color w:val="auto"/>
                <w:spacing w:val="-2"/>
                <w:sz w:val="24"/>
                <w:szCs w:val="24"/>
                <w:highlight w:val="none"/>
              </w:rPr>
              <w:t>25.55</w:t>
            </w:r>
          </w:p>
        </w:tc>
        <w:tc>
          <w:tcPr>
            <w:tcW w:w="1475" w:type="dxa"/>
            <w:shd w:val="clear" w:color="auto" w:fill="auto"/>
            <w:vAlign w:val="center"/>
          </w:tcPr>
          <w:p w14:paraId="2672A8CB">
            <w:pPr>
              <w:pStyle w:val="27"/>
              <w:keepNext w:val="0"/>
              <w:keepLines w:val="0"/>
              <w:pageBreakBefore w:val="0"/>
              <w:widowControl w:val="0"/>
              <w:kinsoku/>
              <w:wordWrap/>
              <w:overflowPunct/>
              <w:topLinePunct w:val="0"/>
              <w:autoSpaceDE/>
              <w:autoSpaceDN/>
              <w:bidi w:val="0"/>
              <w:adjustRightInd/>
              <w:snapToGrid/>
              <w:jc w:val="center"/>
              <w:textAlignment w:val="auto"/>
              <w:rPr>
                <w:color w:val="auto"/>
                <w:sz w:val="24"/>
                <w:szCs w:val="24"/>
                <w:highlight w:val="none"/>
              </w:rPr>
            </w:pPr>
          </w:p>
        </w:tc>
      </w:tr>
      <w:tr w14:paraId="4EF0DB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atLeast"/>
          <w:jc w:val="center"/>
        </w:trPr>
        <w:tc>
          <w:tcPr>
            <w:tcW w:w="644" w:type="dxa"/>
            <w:vMerge w:val="restart"/>
            <w:tcBorders>
              <w:bottom w:val="nil"/>
            </w:tcBorders>
            <w:shd w:val="clear" w:color="auto" w:fill="auto"/>
            <w:vAlign w:val="center"/>
          </w:tcPr>
          <w:p w14:paraId="711A5847">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t>3</w:t>
            </w:r>
          </w:p>
        </w:tc>
        <w:tc>
          <w:tcPr>
            <w:tcW w:w="1966" w:type="dxa"/>
            <w:vMerge w:val="restart"/>
            <w:tcBorders>
              <w:bottom w:val="nil"/>
            </w:tcBorders>
            <w:shd w:val="clear" w:color="auto" w:fill="auto"/>
            <w:vAlign w:val="center"/>
          </w:tcPr>
          <w:p w14:paraId="62935079">
            <w:pPr>
              <w:keepNext w:val="0"/>
              <w:keepLines w:val="0"/>
              <w:pageBreakBefore w:val="0"/>
              <w:widowControl w:val="0"/>
              <w:kinsoku/>
              <w:wordWrap/>
              <w:overflowPunct/>
              <w:topLinePunct w:val="0"/>
              <w:autoSpaceDE/>
              <w:autoSpaceDN/>
              <w:bidi w:val="0"/>
              <w:adjustRightInd/>
              <w:snapToGrid/>
              <w:spacing w:line="219" w:lineRule="auto"/>
              <w:jc w:val="center"/>
              <w:textAlignment w:val="auto"/>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安丰花园农贸市场</w:t>
            </w:r>
          </w:p>
        </w:tc>
        <w:tc>
          <w:tcPr>
            <w:tcW w:w="2141" w:type="dxa"/>
            <w:vMerge w:val="restart"/>
            <w:tcBorders>
              <w:bottom w:val="nil"/>
            </w:tcBorders>
            <w:shd w:val="clear" w:color="auto" w:fill="auto"/>
            <w:vAlign w:val="center"/>
          </w:tcPr>
          <w:p w14:paraId="3A1FEFF2">
            <w:pPr>
              <w:keepNext w:val="0"/>
              <w:keepLines w:val="0"/>
              <w:pageBreakBefore w:val="0"/>
              <w:widowControl w:val="0"/>
              <w:kinsoku/>
              <w:wordWrap/>
              <w:overflowPunct/>
              <w:topLinePunct w:val="0"/>
              <w:autoSpaceDE/>
              <w:autoSpaceDN/>
              <w:bidi w:val="0"/>
              <w:adjustRightInd/>
              <w:snapToGrid/>
              <w:spacing w:line="220" w:lineRule="auto"/>
              <w:jc w:val="center"/>
              <w:textAlignment w:val="auto"/>
              <w:rPr>
                <w:rFonts w:ascii="宋体" w:hAnsi="宋体" w:eastAsia="宋体" w:cs="宋体"/>
                <w:color w:val="auto"/>
                <w:spacing w:val="2"/>
                <w:sz w:val="24"/>
                <w:szCs w:val="24"/>
                <w:highlight w:val="none"/>
              </w:rPr>
            </w:pPr>
            <w:r>
              <w:rPr>
                <w:rFonts w:ascii="宋体" w:hAnsi="宋体" w:eastAsia="宋体" w:cs="宋体"/>
                <w:color w:val="auto"/>
                <w:spacing w:val="2"/>
                <w:sz w:val="24"/>
                <w:szCs w:val="24"/>
                <w:highlight w:val="none"/>
              </w:rPr>
              <w:t>九龙湖龙兴大街与龙岗大道</w:t>
            </w:r>
            <w:r>
              <w:rPr>
                <w:rFonts w:hint="eastAsia" w:ascii="宋体" w:hAnsi="宋体" w:eastAsia="宋体" w:cs="宋体"/>
                <w:color w:val="auto"/>
                <w:spacing w:val="2"/>
                <w:sz w:val="24"/>
                <w:szCs w:val="24"/>
                <w:highlight w:val="none"/>
                <w:lang w:val="en-US" w:eastAsia="zh-CN"/>
              </w:rPr>
              <w:t>交界</w:t>
            </w:r>
            <w:r>
              <w:rPr>
                <w:rFonts w:ascii="宋体" w:hAnsi="宋体" w:eastAsia="宋体" w:cs="宋体"/>
                <w:color w:val="auto"/>
                <w:spacing w:val="2"/>
                <w:sz w:val="24"/>
                <w:szCs w:val="24"/>
                <w:highlight w:val="none"/>
              </w:rPr>
              <w:t>处</w:t>
            </w:r>
          </w:p>
        </w:tc>
        <w:tc>
          <w:tcPr>
            <w:tcW w:w="1704" w:type="dxa"/>
            <w:vMerge w:val="restart"/>
            <w:tcBorders>
              <w:bottom w:val="nil"/>
            </w:tcBorders>
            <w:shd w:val="clear" w:color="auto" w:fill="auto"/>
            <w:vAlign w:val="center"/>
          </w:tcPr>
          <w:p w14:paraId="38A4E7DE">
            <w:pPr>
              <w:keepNext w:val="0"/>
              <w:keepLines w:val="0"/>
              <w:pageBreakBefore w:val="0"/>
              <w:widowControl w:val="0"/>
              <w:kinsoku/>
              <w:wordWrap/>
              <w:overflowPunct/>
              <w:topLinePunct w:val="0"/>
              <w:autoSpaceDE/>
              <w:autoSpaceDN/>
              <w:bidi w:val="0"/>
              <w:adjustRightInd/>
              <w:snapToGrid/>
              <w:spacing w:line="239" w:lineRule="auto"/>
              <w:jc w:val="center"/>
              <w:textAlignment w:val="auto"/>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2393.92</w:t>
            </w:r>
          </w:p>
        </w:tc>
        <w:tc>
          <w:tcPr>
            <w:tcW w:w="2054" w:type="dxa"/>
            <w:shd w:val="clear" w:color="auto" w:fill="auto"/>
            <w:vAlign w:val="center"/>
          </w:tcPr>
          <w:p w14:paraId="010D2340">
            <w:pPr>
              <w:keepNext w:val="0"/>
              <w:keepLines w:val="0"/>
              <w:pageBreakBefore w:val="0"/>
              <w:widowControl w:val="0"/>
              <w:kinsoku/>
              <w:wordWrap/>
              <w:overflowPunct/>
              <w:topLinePunct w:val="0"/>
              <w:autoSpaceDE/>
              <w:autoSpaceDN/>
              <w:bidi w:val="0"/>
              <w:adjustRightInd/>
              <w:snapToGrid/>
              <w:spacing w:line="239" w:lineRule="auto"/>
              <w:jc w:val="center"/>
              <w:textAlignment w:val="auto"/>
              <w:rPr>
                <w:rFonts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lang w:val="en-US" w:eastAsia="zh-CN"/>
              </w:rPr>
              <w:t>一层</w:t>
            </w:r>
            <w:r>
              <w:rPr>
                <w:rFonts w:ascii="宋体" w:hAnsi="宋体" w:eastAsia="宋体" w:cs="宋体"/>
                <w:color w:val="auto"/>
                <w:spacing w:val="-2"/>
                <w:sz w:val="24"/>
                <w:szCs w:val="24"/>
                <w:highlight w:val="none"/>
              </w:rPr>
              <w:t>1196.96</w:t>
            </w:r>
          </w:p>
        </w:tc>
        <w:tc>
          <w:tcPr>
            <w:tcW w:w="1475" w:type="dxa"/>
            <w:shd w:val="clear" w:color="auto" w:fill="auto"/>
            <w:vAlign w:val="center"/>
          </w:tcPr>
          <w:p w14:paraId="54816D99">
            <w:pPr>
              <w:pStyle w:val="27"/>
              <w:keepNext w:val="0"/>
              <w:keepLines w:val="0"/>
              <w:pageBreakBefore w:val="0"/>
              <w:widowControl w:val="0"/>
              <w:kinsoku/>
              <w:wordWrap/>
              <w:overflowPunct/>
              <w:topLinePunct w:val="0"/>
              <w:autoSpaceDE/>
              <w:autoSpaceDN/>
              <w:bidi w:val="0"/>
              <w:adjustRightInd/>
              <w:snapToGrid/>
              <w:jc w:val="center"/>
              <w:textAlignment w:val="auto"/>
              <w:rPr>
                <w:color w:val="auto"/>
                <w:sz w:val="24"/>
                <w:szCs w:val="24"/>
                <w:highlight w:val="none"/>
              </w:rPr>
            </w:pPr>
          </w:p>
        </w:tc>
      </w:tr>
      <w:tr w14:paraId="721D67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atLeast"/>
          <w:jc w:val="center"/>
        </w:trPr>
        <w:tc>
          <w:tcPr>
            <w:tcW w:w="644" w:type="dxa"/>
            <w:vMerge w:val="continue"/>
            <w:tcBorders>
              <w:top w:val="nil"/>
            </w:tcBorders>
            <w:shd w:val="clear" w:color="auto" w:fill="auto"/>
            <w:vAlign w:val="center"/>
          </w:tcPr>
          <w:p w14:paraId="4D4714AC">
            <w:pPr>
              <w:pStyle w:val="27"/>
              <w:keepNext w:val="0"/>
              <w:keepLines w:val="0"/>
              <w:pageBreakBefore w:val="0"/>
              <w:widowControl w:val="0"/>
              <w:kinsoku/>
              <w:wordWrap/>
              <w:overflowPunct/>
              <w:topLinePunct w:val="0"/>
              <w:autoSpaceDE/>
              <w:autoSpaceDN/>
              <w:bidi w:val="0"/>
              <w:adjustRightInd/>
              <w:snapToGrid/>
              <w:jc w:val="center"/>
              <w:textAlignment w:val="auto"/>
              <w:rPr>
                <w:color w:val="auto"/>
                <w:sz w:val="24"/>
                <w:szCs w:val="24"/>
                <w:highlight w:val="none"/>
              </w:rPr>
            </w:pPr>
          </w:p>
        </w:tc>
        <w:tc>
          <w:tcPr>
            <w:tcW w:w="1966" w:type="dxa"/>
            <w:vMerge w:val="continue"/>
            <w:tcBorders>
              <w:top w:val="nil"/>
            </w:tcBorders>
            <w:shd w:val="clear" w:color="auto" w:fill="auto"/>
            <w:vAlign w:val="center"/>
          </w:tcPr>
          <w:p w14:paraId="2D3E83B7">
            <w:pPr>
              <w:pStyle w:val="27"/>
              <w:keepNext w:val="0"/>
              <w:keepLines w:val="0"/>
              <w:pageBreakBefore w:val="0"/>
              <w:widowControl w:val="0"/>
              <w:kinsoku/>
              <w:wordWrap/>
              <w:overflowPunct/>
              <w:topLinePunct w:val="0"/>
              <w:autoSpaceDE/>
              <w:autoSpaceDN/>
              <w:bidi w:val="0"/>
              <w:adjustRightInd/>
              <w:snapToGrid/>
              <w:jc w:val="center"/>
              <w:textAlignment w:val="auto"/>
              <w:rPr>
                <w:color w:val="auto"/>
                <w:sz w:val="24"/>
                <w:szCs w:val="24"/>
                <w:highlight w:val="none"/>
              </w:rPr>
            </w:pPr>
          </w:p>
        </w:tc>
        <w:tc>
          <w:tcPr>
            <w:tcW w:w="2141" w:type="dxa"/>
            <w:vMerge w:val="continue"/>
            <w:tcBorders>
              <w:top w:val="nil"/>
            </w:tcBorders>
            <w:shd w:val="clear" w:color="auto" w:fill="auto"/>
            <w:vAlign w:val="center"/>
          </w:tcPr>
          <w:p w14:paraId="092F0EAA">
            <w:pPr>
              <w:keepNext w:val="0"/>
              <w:keepLines w:val="0"/>
              <w:pageBreakBefore w:val="0"/>
              <w:widowControl w:val="0"/>
              <w:kinsoku/>
              <w:wordWrap/>
              <w:overflowPunct/>
              <w:topLinePunct w:val="0"/>
              <w:autoSpaceDE/>
              <w:autoSpaceDN/>
              <w:bidi w:val="0"/>
              <w:adjustRightInd/>
              <w:snapToGrid/>
              <w:spacing w:line="220" w:lineRule="auto"/>
              <w:ind w:left="323"/>
              <w:jc w:val="center"/>
              <w:textAlignment w:val="auto"/>
              <w:rPr>
                <w:rFonts w:ascii="宋体" w:hAnsi="宋体" w:eastAsia="宋体" w:cs="宋体"/>
                <w:color w:val="auto"/>
                <w:spacing w:val="2"/>
                <w:sz w:val="24"/>
                <w:szCs w:val="24"/>
                <w:highlight w:val="none"/>
              </w:rPr>
            </w:pPr>
          </w:p>
        </w:tc>
        <w:tc>
          <w:tcPr>
            <w:tcW w:w="1704" w:type="dxa"/>
            <w:vMerge w:val="continue"/>
            <w:tcBorders>
              <w:top w:val="nil"/>
            </w:tcBorders>
            <w:shd w:val="clear" w:color="auto" w:fill="auto"/>
            <w:vAlign w:val="center"/>
          </w:tcPr>
          <w:p w14:paraId="14913D3D">
            <w:pPr>
              <w:pStyle w:val="27"/>
              <w:keepNext w:val="0"/>
              <w:keepLines w:val="0"/>
              <w:pageBreakBefore w:val="0"/>
              <w:widowControl w:val="0"/>
              <w:kinsoku/>
              <w:wordWrap/>
              <w:overflowPunct/>
              <w:topLinePunct w:val="0"/>
              <w:autoSpaceDE/>
              <w:autoSpaceDN/>
              <w:bidi w:val="0"/>
              <w:adjustRightInd/>
              <w:snapToGrid/>
              <w:jc w:val="center"/>
              <w:textAlignment w:val="auto"/>
              <w:rPr>
                <w:color w:val="auto"/>
                <w:sz w:val="24"/>
                <w:szCs w:val="24"/>
                <w:highlight w:val="none"/>
              </w:rPr>
            </w:pPr>
          </w:p>
        </w:tc>
        <w:tc>
          <w:tcPr>
            <w:tcW w:w="2054" w:type="dxa"/>
            <w:shd w:val="clear" w:color="auto" w:fill="auto"/>
            <w:vAlign w:val="center"/>
          </w:tcPr>
          <w:p w14:paraId="359225DC">
            <w:pPr>
              <w:keepNext w:val="0"/>
              <w:keepLines w:val="0"/>
              <w:pageBreakBefore w:val="0"/>
              <w:widowControl w:val="0"/>
              <w:kinsoku/>
              <w:wordWrap/>
              <w:overflowPunct/>
              <w:topLinePunct w:val="0"/>
              <w:autoSpaceDE/>
              <w:autoSpaceDN/>
              <w:bidi w:val="0"/>
              <w:adjustRightInd/>
              <w:snapToGrid/>
              <w:spacing w:line="239" w:lineRule="auto"/>
              <w:jc w:val="center"/>
              <w:textAlignment w:val="auto"/>
              <w:rPr>
                <w:rFonts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lang w:val="en-US" w:eastAsia="zh-CN"/>
              </w:rPr>
              <w:t>二层</w:t>
            </w:r>
            <w:r>
              <w:rPr>
                <w:rFonts w:ascii="宋体" w:hAnsi="宋体" w:eastAsia="宋体" w:cs="宋体"/>
                <w:color w:val="auto"/>
                <w:spacing w:val="-2"/>
                <w:sz w:val="24"/>
                <w:szCs w:val="24"/>
                <w:highlight w:val="none"/>
              </w:rPr>
              <w:t>1196.96</w:t>
            </w:r>
          </w:p>
        </w:tc>
        <w:tc>
          <w:tcPr>
            <w:tcW w:w="1475" w:type="dxa"/>
            <w:shd w:val="clear" w:color="auto" w:fill="auto"/>
            <w:vAlign w:val="center"/>
          </w:tcPr>
          <w:p w14:paraId="291C1E36">
            <w:pPr>
              <w:pStyle w:val="27"/>
              <w:keepNext w:val="0"/>
              <w:keepLines w:val="0"/>
              <w:pageBreakBefore w:val="0"/>
              <w:widowControl w:val="0"/>
              <w:kinsoku/>
              <w:wordWrap/>
              <w:overflowPunct/>
              <w:topLinePunct w:val="0"/>
              <w:autoSpaceDE/>
              <w:autoSpaceDN/>
              <w:bidi w:val="0"/>
              <w:adjustRightInd/>
              <w:snapToGrid/>
              <w:jc w:val="center"/>
              <w:textAlignment w:val="auto"/>
              <w:rPr>
                <w:color w:val="auto"/>
                <w:sz w:val="24"/>
                <w:szCs w:val="24"/>
                <w:highlight w:val="none"/>
              </w:rPr>
            </w:pPr>
          </w:p>
        </w:tc>
      </w:tr>
      <w:tr w14:paraId="3CD34E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atLeast"/>
          <w:jc w:val="center"/>
        </w:trPr>
        <w:tc>
          <w:tcPr>
            <w:tcW w:w="644" w:type="dxa"/>
            <w:vMerge w:val="restart"/>
            <w:shd w:val="clear" w:color="auto" w:fill="auto"/>
            <w:vAlign w:val="center"/>
          </w:tcPr>
          <w:p w14:paraId="130CF83C">
            <w:pPr>
              <w:keepNext w:val="0"/>
              <w:keepLines w:val="0"/>
              <w:pageBreakBefore w:val="0"/>
              <w:widowControl w:val="0"/>
              <w:kinsoku/>
              <w:wordWrap/>
              <w:overflowPunct/>
              <w:topLinePunct w:val="0"/>
              <w:autoSpaceDE/>
              <w:autoSpaceDN/>
              <w:bidi w:val="0"/>
              <w:adjustRightInd/>
              <w:snapToGrid/>
              <w:spacing w:line="241" w:lineRule="auto"/>
              <w:jc w:val="center"/>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t>4</w:t>
            </w:r>
          </w:p>
        </w:tc>
        <w:tc>
          <w:tcPr>
            <w:tcW w:w="1966" w:type="dxa"/>
            <w:vMerge w:val="restart"/>
            <w:shd w:val="clear" w:color="auto" w:fill="auto"/>
            <w:vAlign w:val="center"/>
          </w:tcPr>
          <w:p w14:paraId="2623F2E1">
            <w:pPr>
              <w:keepNext w:val="0"/>
              <w:keepLines w:val="0"/>
              <w:pageBreakBefore w:val="0"/>
              <w:widowControl w:val="0"/>
              <w:kinsoku/>
              <w:wordWrap/>
              <w:overflowPunct/>
              <w:topLinePunct w:val="0"/>
              <w:autoSpaceDE/>
              <w:autoSpaceDN/>
              <w:bidi w:val="0"/>
              <w:adjustRightInd/>
              <w:snapToGrid/>
              <w:spacing w:line="219" w:lineRule="auto"/>
              <w:jc w:val="center"/>
              <w:textAlignment w:val="auto"/>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站西花园农贸市场</w:t>
            </w:r>
          </w:p>
        </w:tc>
        <w:tc>
          <w:tcPr>
            <w:tcW w:w="2141" w:type="dxa"/>
            <w:vMerge w:val="restart"/>
            <w:shd w:val="clear" w:color="auto" w:fill="auto"/>
            <w:vAlign w:val="center"/>
          </w:tcPr>
          <w:p w14:paraId="57E15EEE">
            <w:pPr>
              <w:keepNext w:val="0"/>
              <w:keepLines w:val="0"/>
              <w:pageBreakBefore w:val="0"/>
              <w:widowControl w:val="0"/>
              <w:kinsoku/>
              <w:wordWrap/>
              <w:overflowPunct/>
              <w:topLinePunct w:val="0"/>
              <w:autoSpaceDE/>
              <w:autoSpaceDN/>
              <w:bidi w:val="0"/>
              <w:adjustRightInd/>
              <w:snapToGrid/>
              <w:spacing w:line="220" w:lineRule="auto"/>
              <w:jc w:val="center"/>
              <w:textAlignment w:val="auto"/>
              <w:rPr>
                <w:rFonts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lang w:val="en-US" w:eastAsia="zh-CN"/>
              </w:rPr>
              <w:t>红谷滩区</w:t>
            </w:r>
            <w:r>
              <w:rPr>
                <w:rFonts w:ascii="宋体" w:hAnsi="宋体" w:eastAsia="宋体" w:cs="宋体"/>
                <w:color w:val="auto"/>
                <w:spacing w:val="2"/>
                <w:sz w:val="24"/>
                <w:szCs w:val="24"/>
                <w:highlight w:val="none"/>
              </w:rPr>
              <w:t>平安西二街</w:t>
            </w:r>
          </w:p>
        </w:tc>
        <w:tc>
          <w:tcPr>
            <w:tcW w:w="1704" w:type="dxa"/>
            <w:vMerge w:val="restart"/>
            <w:shd w:val="clear" w:color="auto" w:fill="auto"/>
            <w:vAlign w:val="center"/>
          </w:tcPr>
          <w:p w14:paraId="67F4D4C5">
            <w:pPr>
              <w:keepNext w:val="0"/>
              <w:keepLines w:val="0"/>
              <w:pageBreakBefore w:val="0"/>
              <w:widowControl w:val="0"/>
              <w:kinsoku/>
              <w:wordWrap/>
              <w:overflowPunct/>
              <w:topLinePunct w:val="0"/>
              <w:autoSpaceDE/>
              <w:autoSpaceDN/>
              <w:bidi w:val="0"/>
              <w:adjustRightInd/>
              <w:snapToGrid/>
              <w:spacing w:line="239" w:lineRule="auto"/>
              <w:jc w:val="center"/>
              <w:textAlignment w:val="auto"/>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2413.45</w:t>
            </w:r>
          </w:p>
        </w:tc>
        <w:tc>
          <w:tcPr>
            <w:tcW w:w="2054" w:type="dxa"/>
            <w:shd w:val="clear" w:color="auto" w:fill="auto"/>
            <w:vAlign w:val="center"/>
          </w:tcPr>
          <w:p w14:paraId="1C6402DE">
            <w:pPr>
              <w:keepNext w:val="0"/>
              <w:keepLines w:val="0"/>
              <w:pageBreakBefore w:val="0"/>
              <w:widowControl w:val="0"/>
              <w:kinsoku/>
              <w:wordWrap/>
              <w:overflowPunct/>
              <w:topLinePunct w:val="0"/>
              <w:autoSpaceDE/>
              <w:autoSpaceDN/>
              <w:bidi w:val="0"/>
              <w:adjustRightInd/>
              <w:snapToGrid/>
              <w:spacing w:line="239" w:lineRule="auto"/>
              <w:jc w:val="center"/>
              <w:textAlignment w:val="auto"/>
              <w:rPr>
                <w:rFonts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lang w:val="en-US" w:eastAsia="zh-CN"/>
              </w:rPr>
              <w:t>一层</w:t>
            </w:r>
            <w:r>
              <w:rPr>
                <w:rFonts w:ascii="宋体" w:hAnsi="宋体" w:eastAsia="宋体" w:cs="宋体"/>
                <w:color w:val="auto"/>
                <w:spacing w:val="-2"/>
                <w:sz w:val="24"/>
                <w:szCs w:val="24"/>
                <w:highlight w:val="none"/>
              </w:rPr>
              <w:t>1209.78</w:t>
            </w:r>
          </w:p>
        </w:tc>
        <w:tc>
          <w:tcPr>
            <w:tcW w:w="1475" w:type="dxa"/>
            <w:shd w:val="clear" w:color="auto" w:fill="auto"/>
            <w:vAlign w:val="center"/>
          </w:tcPr>
          <w:p w14:paraId="5207C8FC">
            <w:pPr>
              <w:pStyle w:val="27"/>
              <w:keepNext w:val="0"/>
              <w:keepLines w:val="0"/>
              <w:pageBreakBefore w:val="0"/>
              <w:widowControl w:val="0"/>
              <w:kinsoku/>
              <w:wordWrap/>
              <w:overflowPunct/>
              <w:topLinePunct w:val="0"/>
              <w:autoSpaceDE/>
              <w:autoSpaceDN/>
              <w:bidi w:val="0"/>
              <w:adjustRightInd/>
              <w:snapToGrid/>
              <w:jc w:val="center"/>
              <w:textAlignment w:val="auto"/>
              <w:rPr>
                <w:color w:val="auto"/>
                <w:sz w:val="24"/>
                <w:szCs w:val="24"/>
                <w:highlight w:val="none"/>
              </w:rPr>
            </w:pPr>
          </w:p>
        </w:tc>
      </w:tr>
      <w:tr w14:paraId="78F247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atLeast"/>
          <w:jc w:val="center"/>
        </w:trPr>
        <w:tc>
          <w:tcPr>
            <w:tcW w:w="644" w:type="dxa"/>
            <w:vMerge w:val="continue"/>
            <w:shd w:val="clear" w:color="auto" w:fill="auto"/>
            <w:vAlign w:val="center"/>
          </w:tcPr>
          <w:p w14:paraId="115BD8BE">
            <w:pPr>
              <w:pStyle w:val="27"/>
              <w:keepNext w:val="0"/>
              <w:keepLines w:val="0"/>
              <w:pageBreakBefore w:val="0"/>
              <w:widowControl w:val="0"/>
              <w:kinsoku/>
              <w:wordWrap/>
              <w:overflowPunct/>
              <w:topLinePunct w:val="0"/>
              <w:autoSpaceDE/>
              <w:autoSpaceDN/>
              <w:bidi w:val="0"/>
              <w:adjustRightInd/>
              <w:snapToGrid/>
              <w:jc w:val="center"/>
              <w:textAlignment w:val="auto"/>
              <w:rPr>
                <w:color w:val="auto"/>
                <w:sz w:val="24"/>
                <w:szCs w:val="24"/>
                <w:highlight w:val="none"/>
              </w:rPr>
            </w:pPr>
          </w:p>
        </w:tc>
        <w:tc>
          <w:tcPr>
            <w:tcW w:w="1966" w:type="dxa"/>
            <w:vMerge w:val="continue"/>
            <w:shd w:val="clear" w:color="auto" w:fill="auto"/>
            <w:vAlign w:val="center"/>
          </w:tcPr>
          <w:p w14:paraId="0DF2D3C1">
            <w:pPr>
              <w:pStyle w:val="27"/>
              <w:keepNext w:val="0"/>
              <w:keepLines w:val="0"/>
              <w:pageBreakBefore w:val="0"/>
              <w:widowControl w:val="0"/>
              <w:kinsoku/>
              <w:wordWrap/>
              <w:overflowPunct/>
              <w:topLinePunct w:val="0"/>
              <w:autoSpaceDE/>
              <w:autoSpaceDN/>
              <w:bidi w:val="0"/>
              <w:adjustRightInd/>
              <w:snapToGrid/>
              <w:jc w:val="center"/>
              <w:textAlignment w:val="auto"/>
              <w:rPr>
                <w:color w:val="auto"/>
                <w:sz w:val="24"/>
                <w:szCs w:val="24"/>
                <w:highlight w:val="none"/>
              </w:rPr>
            </w:pPr>
          </w:p>
        </w:tc>
        <w:tc>
          <w:tcPr>
            <w:tcW w:w="2141" w:type="dxa"/>
            <w:vMerge w:val="continue"/>
            <w:shd w:val="clear" w:color="auto" w:fill="auto"/>
            <w:vAlign w:val="center"/>
          </w:tcPr>
          <w:p w14:paraId="12E1B7BD">
            <w:pPr>
              <w:keepNext w:val="0"/>
              <w:keepLines w:val="0"/>
              <w:pageBreakBefore w:val="0"/>
              <w:widowControl w:val="0"/>
              <w:kinsoku/>
              <w:wordWrap/>
              <w:overflowPunct/>
              <w:topLinePunct w:val="0"/>
              <w:autoSpaceDE/>
              <w:autoSpaceDN/>
              <w:bidi w:val="0"/>
              <w:adjustRightInd/>
              <w:snapToGrid/>
              <w:spacing w:line="220" w:lineRule="auto"/>
              <w:ind w:left="323"/>
              <w:jc w:val="center"/>
              <w:textAlignment w:val="auto"/>
              <w:rPr>
                <w:rFonts w:ascii="宋体" w:hAnsi="宋体" w:eastAsia="宋体" w:cs="宋体"/>
                <w:color w:val="auto"/>
                <w:spacing w:val="2"/>
                <w:sz w:val="24"/>
                <w:szCs w:val="24"/>
                <w:highlight w:val="none"/>
              </w:rPr>
            </w:pPr>
          </w:p>
        </w:tc>
        <w:tc>
          <w:tcPr>
            <w:tcW w:w="1704" w:type="dxa"/>
            <w:vMerge w:val="continue"/>
            <w:shd w:val="clear" w:color="auto" w:fill="auto"/>
            <w:vAlign w:val="center"/>
          </w:tcPr>
          <w:p w14:paraId="02ABEC2B">
            <w:pPr>
              <w:pStyle w:val="27"/>
              <w:keepNext w:val="0"/>
              <w:keepLines w:val="0"/>
              <w:pageBreakBefore w:val="0"/>
              <w:widowControl w:val="0"/>
              <w:kinsoku/>
              <w:wordWrap/>
              <w:overflowPunct/>
              <w:topLinePunct w:val="0"/>
              <w:autoSpaceDE/>
              <w:autoSpaceDN/>
              <w:bidi w:val="0"/>
              <w:adjustRightInd/>
              <w:snapToGrid/>
              <w:jc w:val="center"/>
              <w:textAlignment w:val="auto"/>
              <w:rPr>
                <w:color w:val="auto"/>
                <w:sz w:val="24"/>
                <w:szCs w:val="24"/>
                <w:highlight w:val="none"/>
              </w:rPr>
            </w:pPr>
          </w:p>
        </w:tc>
        <w:tc>
          <w:tcPr>
            <w:tcW w:w="2054" w:type="dxa"/>
            <w:shd w:val="clear" w:color="auto" w:fill="auto"/>
            <w:vAlign w:val="center"/>
          </w:tcPr>
          <w:p w14:paraId="4DAB2BB8">
            <w:pPr>
              <w:keepNext w:val="0"/>
              <w:keepLines w:val="0"/>
              <w:pageBreakBefore w:val="0"/>
              <w:widowControl w:val="0"/>
              <w:kinsoku/>
              <w:wordWrap/>
              <w:overflowPunct/>
              <w:topLinePunct w:val="0"/>
              <w:autoSpaceDE/>
              <w:autoSpaceDN/>
              <w:bidi w:val="0"/>
              <w:adjustRightInd/>
              <w:snapToGrid/>
              <w:spacing w:line="239" w:lineRule="auto"/>
              <w:jc w:val="center"/>
              <w:textAlignment w:val="auto"/>
              <w:rPr>
                <w:rFonts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lang w:val="en-US" w:eastAsia="zh-CN"/>
              </w:rPr>
              <w:t>二层</w:t>
            </w:r>
            <w:r>
              <w:rPr>
                <w:rFonts w:ascii="宋体" w:hAnsi="宋体" w:eastAsia="宋体" w:cs="宋体"/>
                <w:color w:val="auto"/>
                <w:spacing w:val="-1"/>
                <w:sz w:val="24"/>
                <w:szCs w:val="24"/>
                <w:highlight w:val="none"/>
              </w:rPr>
              <w:t>947.88</w:t>
            </w:r>
          </w:p>
        </w:tc>
        <w:tc>
          <w:tcPr>
            <w:tcW w:w="1475" w:type="dxa"/>
            <w:shd w:val="clear" w:color="auto" w:fill="auto"/>
            <w:vAlign w:val="center"/>
          </w:tcPr>
          <w:p w14:paraId="2EF74332">
            <w:pPr>
              <w:pStyle w:val="27"/>
              <w:keepNext w:val="0"/>
              <w:keepLines w:val="0"/>
              <w:pageBreakBefore w:val="0"/>
              <w:widowControl w:val="0"/>
              <w:kinsoku/>
              <w:wordWrap/>
              <w:overflowPunct/>
              <w:topLinePunct w:val="0"/>
              <w:autoSpaceDE/>
              <w:autoSpaceDN/>
              <w:bidi w:val="0"/>
              <w:adjustRightInd/>
              <w:snapToGrid/>
              <w:jc w:val="center"/>
              <w:textAlignment w:val="auto"/>
              <w:rPr>
                <w:color w:val="auto"/>
                <w:sz w:val="24"/>
                <w:szCs w:val="24"/>
                <w:highlight w:val="none"/>
              </w:rPr>
            </w:pPr>
          </w:p>
        </w:tc>
      </w:tr>
      <w:tr w14:paraId="7798BE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646" w:hRule="atLeast"/>
          <w:jc w:val="center"/>
        </w:trPr>
        <w:tc>
          <w:tcPr>
            <w:tcW w:w="644" w:type="dxa"/>
            <w:vMerge w:val="continue"/>
            <w:shd w:val="clear" w:color="auto" w:fill="auto"/>
            <w:vAlign w:val="center"/>
          </w:tcPr>
          <w:p w14:paraId="3C472F4F">
            <w:pPr>
              <w:pStyle w:val="27"/>
              <w:keepNext w:val="0"/>
              <w:keepLines w:val="0"/>
              <w:pageBreakBefore w:val="0"/>
              <w:widowControl w:val="0"/>
              <w:kinsoku/>
              <w:wordWrap/>
              <w:overflowPunct/>
              <w:topLinePunct w:val="0"/>
              <w:autoSpaceDE/>
              <w:autoSpaceDN/>
              <w:bidi w:val="0"/>
              <w:adjustRightInd/>
              <w:snapToGrid/>
              <w:jc w:val="center"/>
              <w:textAlignment w:val="auto"/>
              <w:rPr>
                <w:color w:val="auto"/>
                <w:sz w:val="24"/>
                <w:szCs w:val="24"/>
                <w:highlight w:val="none"/>
              </w:rPr>
            </w:pPr>
          </w:p>
        </w:tc>
        <w:tc>
          <w:tcPr>
            <w:tcW w:w="1966" w:type="dxa"/>
            <w:vMerge w:val="continue"/>
            <w:shd w:val="clear" w:color="auto" w:fill="auto"/>
            <w:vAlign w:val="center"/>
          </w:tcPr>
          <w:p w14:paraId="17A6983C">
            <w:pPr>
              <w:pStyle w:val="27"/>
              <w:keepNext w:val="0"/>
              <w:keepLines w:val="0"/>
              <w:pageBreakBefore w:val="0"/>
              <w:widowControl w:val="0"/>
              <w:kinsoku/>
              <w:wordWrap/>
              <w:overflowPunct/>
              <w:topLinePunct w:val="0"/>
              <w:autoSpaceDE/>
              <w:autoSpaceDN/>
              <w:bidi w:val="0"/>
              <w:adjustRightInd/>
              <w:snapToGrid/>
              <w:jc w:val="center"/>
              <w:textAlignment w:val="auto"/>
              <w:rPr>
                <w:color w:val="auto"/>
                <w:sz w:val="24"/>
                <w:szCs w:val="24"/>
                <w:highlight w:val="none"/>
              </w:rPr>
            </w:pPr>
          </w:p>
        </w:tc>
        <w:tc>
          <w:tcPr>
            <w:tcW w:w="2141" w:type="dxa"/>
            <w:vMerge w:val="continue"/>
            <w:shd w:val="clear" w:color="auto" w:fill="auto"/>
            <w:vAlign w:val="center"/>
          </w:tcPr>
          <w:p w14:paraId="1719A997">
            <w:pPr>
              <w:keepNext w:val="0"/>
              <w:keepLines w:val="0"/>
              <w:pageBreakBefore w:val="0"/>
              <w:widowControl w:val="0"/>
              <w:kinsoku/>
              <w:wordWrap/>
              <w:overflowPunct/>
              <w:topLinePunct w:val="0"/>
              <w:autoSpaceDE/>
              <w:autoSpaceDN/>
              <w:bidi w:val="0"/>
              <w:adjustRightInd/>
              <w:snapToGrid/>
              <w:spacing w:line="220" w:lineRule="auto"/>
              <w:ind w:left="323"/>
              <w:jc w:val="center"/>
              <w:textAlignment w:val="auto"/>
              <w:rPr>
                <w:rFonts w:ascii="宋体" w:hAnsi="宋体" w:eastAsia="宋体" w:cs="宋体"/>
                <w:color w:val="auto"/>
                <w:spacing w:val="2"/>
                <w:sz w:val="24"/>
                <w:szCs w:val="24"/>
                <w:highlight w:val="none"/>
              </w:rPr>
            </w:pPr>
          </w:p>
        </w:tc>
        <w:tc>
          <w:tcPr>
            <w:tcW w:w="1704" w:type="dxa"/>
            <w:vMerge w:val="continue"/>
            <w:shd w:val="clear" w:color="auto" w:fill="auto"/>
            <w:vAlign w:val="center"/>
          </w:tcPr>
          <w:p w14:paraId="1957091E">
            <w:pPr>
              <w:pStyle w:val="27"/>
              <w:keepNext w:val="0"/>
              <w:keepLines w:val="0"/>
              <w:pageBreakBefore w:val="0"/>
              <w:widowControl w:val="0"/>
              <w:kinsoku/>
              <w:wordWrap/>
              <w:overflowPunct/>
              <w:topLinePunct w:val="0"/>
              <w:autoSpaceDE/>
              <w:autoSpaceDN/>
              <w:bidi w:val="0"/>
              <w:adjustRightInd/>
              <w:snapToGrid/>
              <w:jc w:val="center"/>
              <w:textAlignment w:val="auto"/>
              <w:rPr>
                <w:color w:val="auto"/>
                <w:sz w:val="24"/>
                <w:szCs w:val="24"/>
                <w:highlight w:val="none"/>
              </w:rPr>
            </w:pPr>
          </w:p>
        </w:tc>
        <w:tc>
          <w:tcPr>
            <w:tcW w:w="2054" w:type="dxa"/>
            <w:shd w:val="clear" w:color="auto" w:fill="auto"/>
            <w:vAlign w:val="center"/>
          </w:tcPr>
          <w:p w14:paraId="5347632D">
            <w:pPr>
              <w:keepNext w:val="0"/>
              <w:keepLines w:val="0"/>
              <w:pageBreakBefore w:val="0"/>
              <w:widowControl w:val="0"/>
              <w:kinsoku/>
              <w:wordWrap/>
              <w:overflowPunct/>
              <w:topLinePunct w:val="0"/>
              <w:autoSpaceDE/>
              <w:autoSpaceDN/>
              <w:bidi w:val="0"/>
              <w:adjustRightInd/>
              <w:snapToGrid/>
              <w:spacing w:line="239" w:lineRule="auto"/>
              <w:jc w:val="center"/>
              <w:textAlignment w:val="auto"/>
              <w:rPr>
                <w:rFonts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lang w:val="en-US" w:eastAsia="zh-CN"/>
              </w:rPr>
              <w:t>三层</w:t>
            </w:r>
            <w:r>
              <w:rPr>
                <w:rFonts w:ascii="宋体" w:hAnsi="宋体" w:eastAsia="宋体" w:cs="宋体"/>
                <w:color w:val="auto"/>
                <w:spacing w:val="-1"/>
                <w:sz w:val="24"/>
                <w:szCs w:val="24"/>
                <w:highlight w:val="none"/>
              </w:rPr>
              <w:t>255.79</w:t>
            </w:r>
          </w:p>
        </w:tc>
        <w:tc>
          <w:tcPr>
            <w:tcW w:w="1475" w:type="dxa"/>
            <w:shd w:val="clear" w:color="auto" w:fill="auto"/>
            <w:vAlign w:val="center"/>
          </w:tcPr>
          <w:p w14:paraId="7B4C38EE">
            <w:pPr>
              <w:pStyle w:val="27"/>
              <w:keepNext w:val="0"/>
              <w:keepLines w:val="0"/>
              <w:pageBreakBefore w:val="0"/>
              <w:widowControl w:val="0"/>
              <w:kinsoku/>
              <w:wordWrap/>
              <w:overflowPunct/>
              <w:topLinePunct w:val="0"/>
              <w:autoSpaceDE/>
              <w:autoSpaceDN/>
              <w:bidi w:val="0"/>
              <w:adjustRightInd/>
              <w:snapToGrid/>
              <w:jc w:val="center"/>
              <w:textAlignment w:val="auto"/>
              <w:rPr>
                <w:color w:val="auto"/>
                <w:sz w:val="24"/>
                <w:szCs w:val="24"/>
                <w:highlight w:val="none"/>
              </w:rPr>
            </w:pPr>
          </w:p>
        </w:tc>
      </w:tr>
      <w:tr w14:paraId="1E8342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atLeast"/>
          <w:jc w:val="center"/>
        </w:trPr>
        <w:tc>
          <w:tcPr>
            <w:tcW w:w="644" w:type="dxa"/>
            <w:shd w:val="clear" w:color="auto" w:fill="auto"/>
            <w:vAlign w:val="center"/>
          </w:tcPr>
          <w:p w14:paraId="0805F478">
            <w:pPr>
              <w:pStyle w:val="27"/>
              <w:keepNext w:val="0"/>
              <w:keepLines w:val="0"/>
              <w:pageBreakBefore w:val="0"/>
              <w:widowControl w:val="0"/>
              <w:kinsoku/>
              <w:wordWrap/>
              <w:overflowPunct/>
              <w:topLinePunct w:val="0"/>
              <w:autoSpaceDE/>
              <w:autoSpaceDN/>
              <w:bidi w:val="0"/>
              <w:adjustRightInd/>
              <w:snapToGrid/>
              <w:jc w:val="center"/>
              <w:textAlignment w:val="auto"/>
              <w:rPr>
                <w:rFonts w:hint="eastAsia" w:eastAsia="宋体"/>
                <w:color w:val="auto"/>
                <w:sz w:val="24"/>
                <w:szCs w:val="24"/>
                <w:highlight w:val="none"/>
                <w:lang w:val="en-US" w:eastAsia="zh-CN"/>
              </w:rPr>
            </w:pPr>
            <w:bookmarkStart w:id="47" w:name="_Toc12254"/>
            <w:r>
              <w:rPr>
                <w:rFonts w:hint="eastAsia" w:eastAsia="宋体"/>
                <w:color w:val="auto"/>
                <w:sz w:val="24"/>
                <w:szCs w:val="24"/>
                <w:highlight w:val="none"/>
                <w:lang w:val="en-US" w:eastAsia="zh-CN"/>
              </w:rPr>
              <w:t>5</w:t>
            </w:r>
          </w:p>
        </w:tc>
        <w:tc>
          <w:tcPr>
            <w:tcW w:w="1966" w:type="dxa"/>
            <w:shd w:val="clear" w:color="auto" w:fill="auto"/>
            <w:vAlign w:val="center"/>
          </w:tcPr>
          <w:p w14:paraId="0201F6C0">
            <w:pPr>
              <w:pStyle w:val="27"/>
              <w:keepNext w:val="0"/>
              <w:keepLines w:val="0"/>
              <w:pageBreakBefore w:val="0"/>
              <w:widowControl w:val="0"/>
              <w:kinsoku/>
              <w:wordWrap/>
              <w:overflowPunct/>
              <w:topLinePunct w:val="0"/>
              <w:autoSpaceDE/>
              <w:autoSpaceDN/>
              <w:bidi w:val="0"/>
              <w:adjustRightInd/>
              <w:snapToGrid/>
              <w:jc w:val="center"/>
              <w:textAlignment w:val="auto"/>
              <w:rPr>
                <w:rFonts w:hint="eastAsia" w:eastAsia="宋体"/>
                <w:color w:val="auto"/>
                <w:sz w:val="24"/>
                <w:szCs w:val="24"/>
                <w:highlight w:val="none"/>
                <w:lang w:val="en-US" w:eastAsia="zh-CN"/>
              </w:rPr>
            </w:pPr>
            <w:r>
              <w:rPr>
                <w:rFonts w:hint="eastAsia" w:eastAsia="宋体"/>
                <w:color w:val="auto"/>
                <w:sz w:val="24"/>
                <w:szCs w:val="24"/>
                <w:highlight w:val="none"/>
                <w:lang w:val="en-US" w:eastAsia="zh-CN"/>
              </w:rPr>
              <w:t>合计</w:t>
            </w:r>
          </w:p>
        </w:tc>
        <w:tc>
          <w:tcPr>
            <w:tcW w:w="2141" w:type="dxa"/>
            <w:shd w:val="clear" w:color="auto" w:fill="auto"/>
            <w:vAlign w:val="center"/>
          </w:tcPr>
          <w:p w14:paraId="58A5397F">
            <w:pPr>
              <w:keepNext w:val="0"/>
              <w:keepLines w:val="0"/>
              <w:pageBreakBefore w:val="0"/>
              <w:widowControl w:val="0"/>
              <w:kinsoku/>
              <w:wordWrap/>
              <w:overflowPunct/>
              <w:topLinePunct w:val="0"/>
              <w:autoSpaceDE/>
              <w:autoSpaceDN/>
              <w:bidi w:val="0"/>
              <w:adjustRightInd/>
              <w:snapToGrid/>
              <w:spacing w:line="220" w:lineRule="auto"/>
              <w:ind w:left="323"/>
              <w:jc w:val="center"/>
              <w:textAlignment w:val="auto"/>
              <w:rPr>
                <w:rFonts w:ascii="宋体" w:hAnsi="宋体" w:eastAsia="宋体" w:cs="宋体"/>
                <w:color w:val="auto"/>
                <w:spacing w:val="2"/>
                <w:sz w:val="24"/>
                <w:szCs w:val="24"/>
                <w:highlight w:val="none"/>
              </w:rPr>
            </w:pPr>
          </w:p>
        </w:tc>
        <w:tc>
          <w:tcPr>
            <w:tcW w:w="1704" w:type="dxa"/>
            <w:shd w:val="clear" w:color="auto" w:fill="auto"/>
            <w:vAlign w:val="center"/>
          </w:tcPr>
          <w:p w14:paraId="31D4904F">
            <w:pPr>
              <w:pStyle w:val="27"/>
              <w:keepNext w:val="0"/>
              <w:keepLines w:val="0"/>
              <w:pageBreakBefore w:val="0"/>
              <w:widowControl w:val="0"/>
              <w:kinsoku/>
              <w:wordWrap/>
              <w:overflowPunct/>
              <w:topLinePunct w:val="0"/>
              <w:autoSpaceDE/>
              <w:autoSpaceDN/>
              <w:bidi w:val="0"/>
              <w:adjustRightInd/>
              <w:snapToGrid/>
              <w:jc w:val="center"/>
              <w:textAlignment w:val="auto"/>
              <w:rPr>
                <w:rFonts w:hint="default" w:eastAsia="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9176.86</w:t>
            </w:r>
          </w:p>
        </w:tc>
        <w:tc>
          <w:tcPr>
            <w:tcW w:w="2054" w:type="dxa"/>
            <w:shd w:val="clear" w:color="auto" w:fill="auto"/>
            <w:vAlign w:val="center"/>
          </w:tcPr>
          <w:p w14:paraId="040FA716">
            <w:pPr>
              <w:keepNext w:val="0"/>
              <w:keepLines w:val="0"/>
              <w:pageBreakBefore w:val="0"/>
              <w:widowControl w:val="0"/>
              <w:kinsoku/>
              <w:wordWrap/>
              <w:overflowPunct/>
              <w:topLinePunct w:val="0"/>
              <w:autoSpaceDE/>
              <w:autoSpaceDN/>
              <w:bidi w:val="0"/>
              <w:adjustRightInd/>
              <w:snapToGrid/>
              <w:spacing w:line="239" w:lineRule="auto"/>
              <w:jc w:val="center"/>
              <w:textAlignment w:val="auto"/>
              <w:rPr>
                <w:rFonts w:hint="eastAsia" w:ascii="宋体" w:hAnsi="宋体" w:eastAsia="宋体" w:cs="宋体"/>
                <w:color w:val="auto"/>
                <w:spacing w:val="-1"/>
                <w:sz w:val="24"/>
                <w:szCs w:val="24"/>
                <w:highlight w:val="none"/>
                <w:lang w:val="en-US" w:eastAsia="zh-CN"/>
              </w:rPr>
            </w:pPr>
          </w:p>
        </w:tc>
        <w:tc>
          <w:tcPr>
            <w:tcW w:w="1475" w:type="dxa"/>
            <w:shd w:val="clear" w:color="auto" w:fill="auto"/>
            <w:vAlign w:val="center"/>
          </w:tcPr>
          <w:p w14:paraId="6F698104">
            <w:pPr>
              <w:pStyle w:val="27"/>
              <w:keepNext w:val="0"/>
              <w:keepLines w:val="0"/>
              <w:pageBreakBefore w:val="0"/>
              <w:widowControl w:val="0"/>
              <w:kinsoku/>
              <w:wordWrap/>
              <w:overflowPunct/>
              <w:topLinePunct w:val="0"/>
              <w:autoSpaceDE/>
              <w:autoSpaceDN/>
              <w:bidi w:val="0"/>
              <w:adjustRightInd/>
              <w:snapToGrid/>
              <w:jc w:val="center"/>
              <w:textAlignment w:val="auto"/>
              <w:rPr>
                <w:color w:val="auto"/>
                <w:sz w:val="24"/>
                <w:szCs w:val="24"/>
                <w:highlight w:val="none"/>
              </w:rPr>
            </w:pPr>
          </w:p>
        </w:tc>
      </w:tr>
    </w:tbl>
    <w:p w14:paraId="39E68F3F">
      <w:pPr>
        <w:pStyle w:val="3"/>
        <w:pageBreakBefore w:val="0"/>
        <w:widowControl w:val="0"/>
        <w:kinsoku/>
        <w:wordWrap/>
        <w:overflowPunct/>
        <w:topLinePunct w:val="0"/>
        <w:bidi w:val="0"/>
        <w:spacing w:before="0" w:after="0" w:line="360" w:lineRule="auto"/>
        <w:textAlignment w:val="auto"/>
        <w:rPr>
          <w:rFonts w:hint="eastAsia"/>
          <w:color w:val="auto"/>
          <w:highlight w:val="none"/>
          <w:lang w:val="en-US" w:eastAsia="zh-CN"/>
        </w:rPr>
      </w:pPr>
    </w:p>
    <w:p w14:paraId="2B94E879">
      <w:pPr>
        <w:rPr>
          <w:rFonts w:hint="eastAsia"/>
          <w:color w:val="auto"/>
          <w:highlight w:val="none"/>
          <w:lang w:val="en-US" w:eastAsia="zh-CN"/>
        </w:rPr>
      </w:pPr>
    </w:p>
    <w:p w14:paraId="4CFD0CD2">
      <w:pPr>
        <w:rPr>
          <w:rFonts w:hint="eastAsia"/>
          <w:color w:val="auto"/>
          <w:highlight w:val="none"/>
          <w:lang w:val="en-US" w:eastAsia="zh-CN"/>
        </w:rPr>
      </w:pPr>
    </w:p>
    <w:p w14:paraId="03F1C49C">
      <w:pPr>
        <w:pStyle w:val="3"/>
        <w:pageBreakBefore w:val="0"/>
        <w:widowControl w:val="0"/>
        <w:kinsoku/>
        <w:wordWrap/>
        <w:overflowPunct/>
        <w:topLinePunct w:val="0"/>
        <w:bidi w:val="0"/>
        <w:spacing w:before="0" w:after="0" w:line="360" w:lineRule="auto"/>
        <w:textAlignment w:val="auto"/>
        <w:rPr>
          <w:rFonts w:hint="eastAsia"/>
          <w:color w:val="auto"/>
          <w:highlight w:val="none"/>
        </w:rPr>
      </w:pPr>
      <w:r>
        <w:rPr>
          <w:rFonts w:hint="eastAsia"/>
          <w:color w:val="auto"/>
          <w:highlight w:val="none"/>
          <w:lang w:val="en-US" w:eastAsia="zh-CN"/>
        </w:rPr>
        <w:t>四</w:t>
      </w:r>
      <w:r>
        <w:rPr>
          <w:rFonts w:hint="eastAsia"/>
          <w:color w:val="auto"/>
          <w:highlight w:val="none"/>
          <w:lang w:eastAsia="zh-CN"/>
        </w:rPr>
        <w:t>、</w:t>
      </w:r>
      <w:r>
        <w:rPr>
          <w:rFonts w:hint="eastAsia"/>
          <w:color w:val="auto"/>
          <w:highlight w:val="none"/>
        </w:rPr>
        <w:t>服务需求</w:t>
      </w:r>
      <w:bookmarkEnd w:id="47"/>
    </w:p>
    <w:p w14:paraId="1673397C">
      <w:pPr>
        <w:pStyle w:val="4"/>
        <w:pageBreakBefore w:val="0"/>
        <w:widowControl w:val="0"/>
        <w:kinsoku/>
        <w:wordWrap/>
        <w:overflowPunct/>
        <w:topLinePunct w:val="0"/>
        <w:bidi w:val="0"/>
        <w:spacing w:before="0" w:line="360" w:lineRule="auto"/>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招租</w:t>
      </w:r>
      <w:bookmarkStart w:id="75" w:name="_GoBack"/>
      <w:r>
        <w:rPr>
          <w:rFonts w:hint="eastAsia" w:ascii="宋体" w:hAnsi="宋体" w:eastAsia="宋体" w:cs="宋体"/>
          <w:color w:val="auto"/>
          <w:sz w:val="28"/>
          <w:szCs w:val="28"/>
          <w:highlight w:val="none"/>
          <w:lang w:val="en-US" w:eastAsia="zh-CN"/>
        </w:rPr>
        <w:t>业态定位及经</w:t>
      </w:r>
      <w:bookmarkEnd w:id="75"/>
      <w:r>
        <w:rPr>
          <w:rFonts w:hint="eastAsia" w:ascii="宋体" w:hAnsi="宋体" w:eastAsia="宋体" w:cs="宋体"/>
          <w:color w:val="auto"/>
          <w:sz w:val="28"/>
          <w:szCs w:val="28"/>
          <w:highlight w:val="none"/>
          <w:lang w:val="en-US" w:eastAsia="zh-CN"/>
        </w:rPr>
        <w:t>营范围要求:打造“城市一刻钟便民生活圈”社区民生服务邻里中心，即农贸市场+生活配套民生相关经营业态。每个单体传统核心业态占农贸市场面积不低于40%、新兴便民配套服务业态占农贸市场面积不超过60%。经营项目必须符合国家安全、卫生、环保、市政等方面的规定和要求，不影响周围居民生活与安全</w:t>
      </w:r>
      <w:r>
        <w:rPr>
          <w:rFonts w:hint="eastAsia" w:ascii="宋体" w:hAnsi="宋体" w:cs="宋体"/>
          <w:color w:val="auto"/>
          <w:sz w:val="28"/>
          <w:szCs w:val="28"/>
          <w:highlight w:val="none"/>
          <w:lang w:val="en-US" w:eastAsia="zh-CN"/>
        </w:rPr>
        <w:t>,并自行办理营业执照。</w:t>
      </w:r>
    </w:p>
    <w:p w14:paraId="23363C6E">
      <w:pPr>
        <w:pStyle w:val="4"/>
        <w:pageBreakBefore w:val="0"/>
        <w:widowControl w:val="0"/>
        <w:kinsoku/>
        <w:wordWrap/>
        <w:overflowPunct/>
        <w:topLinePunct w:val="0"/>
        <w:bidi w:val="0"/>
        <w:spacing w:before="0" w:line="360" w:lineRule="auto"/>
        <w:ind w:firstLine="560" w:firstLineChars="200"/>
        <w:textAlignment w:val="auto"/>
        <w:rPr>
          <w:rFonts w:hint="default"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2</w:t>
      </w:r>
      <w:r>
        <w:rPr>
          <w:rFonts w:hint="eastAsia" w:ascii="宋体" w:hAnsi="宋体" w:eastAsia="宋体" w:cs="宋体"/>
          <w:color w:val="auto"/>
          <w:sz w:val="28"/>
          <w:szCs w:val="28"/>
          <w:highlight w:val="none"/>
          <w:lang w:val="en-US" w:eastAsia="zh-CN"/>
        </w:rPr>
        <w:t>、运营模式:</w:t>
      </w:r>
      <w:r>
        <w:rPr>
          <w:rFonts w:hint="eastAsia" w:ascii="宋体" w:hAnsi="宋体" w:cs="宋体"/>
          <w:color w:val="auto"/>
          <w:sz w:val="28"/>
          <w:szCs w:val="28"/>
          <w:highlight w:val="none"/>
          <w:lang w:val="en-US" w:eastAsia="zh-CN"/>
        </w:rPr>
        <w:t>出租房屋</w:t>
      </w:r>
      <w:r>
        <w:rPr>
          <w:rFonts w:hint="eastAsia" w:ascii="宋体" w:hAnsi="宋体" w:eastAsia="宋体" w:cs="宋体"/>
          <w:color w:val="auto"/>
          <w:sz w:val="28"/>
          <w:szCs w:val="28"/>
          <w:highlight w:val="none"/>
          <w:lang w:val="en-US" w:eastAsia="zh-CN"/>
        </w:rPr>
        <w:t>由承租人整体运营、管理，不得整体转租或以合作名义整体转租。农贸市场生鲜、农产品、粮油副食等传统核心业态必须由承租人自主招商运营。餐饮、休闲等新兴便民配套服务业态，可由承租人对外分租，并向出租人报备，但次承租人必须纳入承租人的整体管理，由承租人承担管理责任，且承租人与次承租人的租赁合同期限不</w:t>
      </w:r>
      <w:r>
        <w:rPr>
          <w:rFonts w:hint="eastAsia" w:ascii="宋体" w:hAnsi="宋体" w:cs="宋体"/>
          <w:color w:val="auto"/>
          <w:sz w:val="28"/>
          <w:szCs w:val="28"/>
          <w:highlight w:val="none"/>
          <w:lang w:val="en-US" w:eastAsia="zh-CN"/>
        </w:rPr>
        <w:t>能超过主合同约定的租赁期限，且租赁用途不得超过主合同约定范围。如确需增加业态范围，须经出租人同意。</w:t>
      </w:r>
    </w:p>
    <w:p w14:paraId="7B14D523">
      <w:pPr>
        <w:pStyle w:val="4"/>
        <w:pageBreakBefore w:val="0"/>
        <w:widowControl w:val="0"/>
        <w:kinsoku/>
        <w:wordWrap/>
        <w:overflowPunct/>
        <w:topLinePunct w:val="0"/>
        <w:bidi w:val="0"/>
        <w:spacing w:before="0" w:line="360" w:lineRule="auto"/>
        <w:ind w:firstLine="560" w:firstLineChars="200"/>
        <w:textAlignment w:val="auto"/>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3、农贸市场改造要求:统一规划、合理布局、规范管理。硬件提质改造：对房屋外立面统一风格、提升亮化，修缮内部给排水、照明、通风、消防等基础设施，优化动线与环境卫生，打造整洁规范的购物环境。智能化升级改造：达到参选文件改造方案中承诺的标准。相关改造费用由承租人承担，其他要求按《南昌市中心城区农贸市场管理条例》执行，租赁期限届满，改造设施设备的所有权无偿移交出租人。</w:t>
      </w:r>
    </w:p>
    <w:p w14:paraId="72AAC516">
      <w:pPr>
        <w:ind w:firstLine="560" w:firstLineChars="200"/>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4、</w:t>
      </w:r>
      <w:r>
        <w:rPr>
          <w:rFonts w:hint="eastAsia" w:ascii="宋体" w:hAnsi="宋体" w:eastAsia="宋体" w:cs="宋体"/>
          <w:color w:val="auto"/>
          <w:sz w:val="28"/>
          <w:szCs w:val="28"/>
          <w:highlight w:val="none"/>
          <w:lang w:eastAsia="zh-CN"/>
        </w:rPr>
        <w:t>中选方</w:t>
      </w:r>
      <w:r>
        <w:rPr>
          <w:rFonts w:hint="eastAsia" w:ascii="宋体" w:hAnsi="宋体" w:cs="宋体"/>
          <w:color w:val="auto"/>
          <w:sz w:val="28"/>
          <w:szCs w:val="28"/>
          <w:highlight w:val="none"/>
          <w:lang w:val="en-US" w:eastAsia="zh-CN"/>
        </w:rPr>
        <w:t xml:space="preserve">不得私自对出租房屋进行加建、扩建，改造需征得比选人书面同意后，自行办理相关行政审批手续。 </w:t>
      </w:r>
    </w:p>
    <w:p w14:paraId="35840237">
      <w:pPr>
        <w:ind w:firstLine="560" w:firstLineChars="200"/>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5、中选方不得储存易燃易爆品、违禁品，不得经营销售危险品、不得从事有污染的经营活动、不得从事涉黄、涉黑等违法活动，须落实房屋主体安全。</w:t>
      </w:r>
    </w:p>
    <w:p w14:paraId="3233FECC">
      <w:pPr>
        <w:ind w:firstLine="560" w:firstLineChars="200"/>
        <w:rPr>
          <w:rFonts w:hint="default"/>
          <w:color w:val="auto"/>
          <w:highlight w:val="none"/>
          <w:lang w:val="en-US" w:eastAsia="zh-CN"/>
        </w:rPr>
      </w:pPr>
      <w:r>
        <w:rPr>
          <w:rFonts w:hint="eastAsia" w:ascii="宋体" w:hAnsi="宋体" w:cs="宋体"/>
          <w:color w:val="auto"/>
          <w:sz w:val="28"/>
          <w:szCs w:val="28"/>
          <w:highlight w:val="none"/>
          <w:lang w:val="en-US" w:eastAsia="zh-CN"/>
        </w:rPr>
        <w:t>6、房屋交付标准：现状交付，中选方应自行踏勘，了解房屋产权、建设及纠纷情况，比选人不再进行装修及维护方面的投入（房屋主体结构问题除外）。</w:t>
      </w:r>
    </w:p>
    <w:p w14:paraId="7B460FFA">
      <w:pPr>
        <w:pStyle w:val="3"/>
        <w:pageBreakBefore w:val="0"/>
        <w:widowControl w:val="0"/>
        <w:kinsoku/>
        <w:wordWrap/>
        <w:overflowPunct/>
        <w:topLinePunct w:val="0"/>
        <w:bidi w:val="0"/>
        <w:spacing w:before="0" w:after="0" w:line="360" w:lineRule="auto"/>
        <w:textAlignment w:val="auto"/>
        <w:rPr>
          <w:rFonts w:hint="eastAsia"/>
          <w:color w:val="auto"/>
          <w:highlight w:val="none"/>
          <w:lang w:eastAsia="zh-CN"/>
        </w:rPr>
      </w:pPr>
      <w:bookmarkStart w:id="48" w:name="_Toc7745"/>
      <w:r>
        <w:rPr>
          <w:rFonts w:hint="eastAsia"/>
          <w:color w:val="auto"/>
          <w:highlight w:val="none"/>
          <w:lang w:val="en-US" w:eastAsia="zh-CN"/>
        </w:rPr>
        <w:t>五、</w:t>
      </w:r>
      <w:r>
        <w:rPr>
          <w:rFonts w:hint="eastAsia"/>
          <w:color w:val="auto"/>
          <w:highlight w:val="none"/>
          <w:lang w:eastAsia="zh-CN"/>
        </w:rPr>
        <w:t>商务条款</w:t>
      </w:r>
      <w:bookmarkEnd w:id="48"/>
    </w:p>
    <w:p w14:paraId="59E63E42">
      <w:pPr>
        <w:keepNext w:val="0"/>
        <w:keepLines w:val="0"/>
        <w:pageBreakBefore w:val="0"/>
        <w:widowControl w:val="0"/>
        <w:kinsoku/>
        <w:wordWrap/>
        <w:overflowPunct/>
        <w:topLinePunct w:val="0"/>
        <w:bidi w:val="0"/>
        <w:snapToGrid w:val="0"/>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租金支付</w:t>
      </w:r>
      <w:r>
        <w:rPr>
          <w:rFonts w:hint="eastAsia" w:ascii="宋体" w:hAnsi="宋体" w:eastAsia="宋体" w:cs="宋体"/>
          <w:color w:val="auto"/>
          <w:sz w:val="28"/>
          <w:szCs w:val="28"/>
          <w:highlight w:val="none"/>
        </w:rPr>
        <w:t>方式：</w:t>
      </w:r>
      <w:r>
        <w:rPr>
          <w:rFonts w:hint="eastAsia" w:ascii="宋体" w:hAnsi="宋体" w:eastAsia="宋体" w:cs="宋体"/>
          <w:color w:val="auto"/>
          <w:sz w:val="28"/>
          <w:szCs w:val="28"/>
          <w:highlight w:val="none"/>
          <w:lang w:val="en-US" w:eastAsia="zh-CN"/>
        </w:rPr>
        <w:t>租金采用先支付后使用的原则，每</w:t>
      </w:r>
      <w:r>
        <w:rPr>
          <w:rFonts w:hint="eastAsia" w:ascii="宋体" w:hAnsi="宋体" w:cs="宋体"/>
          <w:color w:val="auto"/>
          <w:sz w:val="28"/>
          <w:szCs w:val="28"/>
          <w:highlight w:val="none"/>
          <w:lang w:val="en-US" w:eastAsia="zh-CN"/>
        </w:rPr>
        <w:t>三</w:t>
      </w:r>
      <w:r>
        <w:rPr>
          <w:rFonts w:hint="eastAsia" w:ascii="宋体" w:hAnsi="宋体" w:eastAsia="宋体" w:cs="宋体"/>
          <w:color w:val="auto"/>
          <w:sz w:val="28"/>
          <w:szCs w:val="28"/>
          <w:highlight w:val="none"/>
          <w:lang w:val="en-US" w:eastAsia="zh-CN"/>
        </w:rPr>
        <w:t>个月为一个支付周期。中选人应于起租前七日内向比选人支付下一期的租金</w:t>
      </w:r>
      <w:r>
        <w:rPr>
          <w:rFonts w:hint="eastAsia" w:ascii="宋体" w:hAnsi="宋体" w:eastAsia="宋体" w:cs="宋体"/>
          <w:color w:val="auto"/>
          <w:sz w:val="28"/>
          <w:szCs w:val="28"/>
          <w:highlight w:val="none"/>
        </w:rPr>
        <w:t>。</w:t>
      </w:r>
    </w:p>
    <w:p w14:paraId="58A1F57E">
      <w:pPr>
        <w:keepNext w:val="0"/>
        <w:keepLines w:val="0"/>
        <w:pageBreakBefore w:val="0"/>
        <w:widowControl w:val="0"/>
        <w:kinsoku/>
        <w:wordWrap/>
        <w:overflowPunct/>
        <w:topLinePunct w:val="0"/>
        <w:bidi w:val="0"/>
        <w:snapToGrid w:val="0"/>
        <w:spacing w:line="360" w:lineRule="auto"/>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2、租赁期限：</w:t>
      </w:r>
      <w:r>
        <w:rPr>
          <w:rFonts w:hint="eastAsia" w:ascii="宋体" w:hAnsi="宋体" w:cs="宋体"/>
          <w:color w:val="auto"/>
          <w:sz w:val="28"/>
          <w:szCs w:val="28"/>
          <w:highlight w:val="none"/>
          <w:lang w:val="en-US" w:eastAsia="zh-CN"/>
        </w:rPr>
        <w:t>10</w:t>
      </w:r>
      <w:r>
        <w:rPr>
          <w:rFonts w:hint="eastAsia" w:ascii="宋体" w:hAnsi="宋体" w:eastAsia="宋体" w:cs="宋体"/>
          <w:color w:val="auto"/>
          <w:sz w:val="28"/>
          <w:szCs w:val="28"/>
          <w:highlight w:val="none"/>
          <w:lang w:val="en-US" w:eastAsia="zh-CN"/>
        </w:rPr>
        <w:t>年。</w:t>
      </w:r>
    </w:p>
    <w:p w14:paraId="5DCDD856">
      <w:pPr>
        <w:keepNext w:val="0"/>
        <w:keepLines w:val="0"/>
        <w:pageBreakBefore w:val="0"/>
        <w:widowControl w:val="0"/>
        <w:kinsoku/>
        <w:wordWrap/>
        <w:overflowPunct/>
        <w:topLinePunct w:val="0"/>
        <w:bidi w:val="0"/>
        <w:snapToGrid w:val="0"/>
        <w:spacing w:line="360" w:lineRule="auto"/>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3、装修免租期：</w:t>
      </w:r>
      <w:r>
        <w:rPr>
          <w:rFonts w:hint="eastAsia" w:ascii="宋体" w:hAnsi="宋体" w:cs="宋体"/>
          <w:color w:val="auto"/>
          <w:sz w:val="28"/>
          <w:szCs w:val="28"/>
          <w:highlight w:val="none"/>
          <w:lang w:val="en-US" w:eastAsia="zh-CN"/>
        </w:rPr>
        <w:t>6</w:t>
      </w:r>
      <w:r>
        <w:rPr>
          <w:rFonts w:hint="eastAsia" w:ascii="宋体" w:hAnsi="宋体" w:eastAsia="宋体" w:cs="宋体"/>
          <w:color w:val="auto"/>
          <w:sz w:val="28"/>
          <w:szCs w:val="28"/>
          <w:highlight w:val="none"/>
          <w:lang w:val="en-US" w:eastAsia="zh-CN"/>
        </w:rPr>
        <w:t>个月。</w:t>
      </w:r>
    </w:p>
    <w:p w14:paraId="61451EC3">
      <w:pPr>
        <w:keepNext w:val="0"/>
        <w:keepLines w:val="0"/>
        <w:pageBreakBefore w:val="0"/>
        <w:widowControl w:val="0"/>
        <w:kinsoku/>
        <w:wordWrap/>
        <w:overflowPunct/>
        <w:topLinePunct w:val="0"/>
        <w:bidi w:val="0"/>
        <w:snapToGrid w:val="0"/>
        <w:spacing w:line="360" w:lineRule="auto"/>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4、项目地点及面积：富源花园、新琚花园、安丰花园、站西花园农贸市场，总面积9176.86</w:t>
      </w:r>
      <w:r>
        <w:rPr>
          <w:rFonts w:hint="eastAsia" w:ascii="宋体" w:hAnsi="宋体" w:cs="宋体"/>
          <w:color w:val="auto"/>
          <w:sz w:val="28"/>
          <w:szCs w:val="28"/>
          <w:highlight w:val="none"/>
          <w:lang w:val="en-US" w:eastAsia="zh-CN"/>
        </w:rPr>
        <w:t>㎡</w:t>
      </w:r>
      <w:r>
        <w:rPr>
          <w:rFonts w:hint="eastAsia" w:ascii="宋体" w:hAnsi="宋体" w:eastAsia="宋体" w:cs="宋体"/>
          <w:color w:val="auto"/>
          <w:sz w:val="28"/>
          <w:szCs w:val="28"/>
          <w:highlight w:val="none"/>
          <w:lang w:val="en-US" w:eastAsia="zh-CN"/>
        </w:rPr>
        <w:t>。</w:t>
      </w:r>
    </w:p>
    <w:p w14:paraId="0F9C1018">
      <w:pPr>
        <w:keepNext w:val="0"/>
        <w:keepLines w:val="0"/>
        <w:pageBreakBefore w:val="0"/>
        <w:widowControl w:val="0"/>
        <w:kinsoku/>
        <w:wordWrap/>
        <w:overflowPunct/>
        <w:topLinePunct w:val="0"/>
        <w:bidi w:val="0"/>
        <w:snapToGrid w:val="0"/>
        <w:spacing w:line="360" w:lineRule="auto"/>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5、</w:t>
      </w:r>
      <w:r>
        <w:rPr>
          <w:rFonts w:hint="eastAsia" w:ascii="宋体" w:hAnsi="宋体" w:cs="宋体"/>
          <w:color w:val="auto"/>
          <w:sz w:val="28"/>
          <w:szCs w:val="28"/>
          <w:highlight w:val="none"/>
          <w:lang w:val="en-US" w:eastAsia="zh-CN"/>
        </w:rPr>
        <w:t>场地</w:t>
      </w:r>
      <w:r>
        <w:rPr>
          <w:rFonts w:hint="eastAsia" w:ascii="宋体" w:hAnsi="宋体" w:eastAsia="宋体" w:cs="宋体"/>
          <w:color w:val="auto"/>
          <w:sz w:val="28"/>
          <w:szCs w:val="28"/>
          <w:highlight w:val="none"/>
          <w:lang w:val="en-US" w:eastAsia="zh-CN"/>
        </w:rPr>
        <w:t>租赁保证金：</w:t>
      </w:r>
      <w:r>
        <w:rPr>
          <w:rFonts w:hint="eastAsia" w:ascii="宋体" w:hAnsi="宋体" w:cs="宋体"/>
          <w:color w:val="auto"/>
          <w:sz w:val="28"/>
          <w:szCs w:val="28"/>
          <w:highlight w:val="none"/>
          <w:lang w:val="en-US" w:eastAsia="zh-CN"/>
        </w:rPr>
        <w:t>60万元</w:t>
      </w:r>
      <w:r>
        <w:rPr>
          <w:rFonts w:hint="eastAsia" w:ascii="宋体" w:hAnsi="宋体" w:eastAsia="宋体" w:cs="宋体"/>
          <w:color w:val="auto"/>
          <w:sz w:val="28"/>
          <w:szCs w:val="28"/>
          <w:highlight w:val="none"/>
          <w:lang w:val="en-US" w:eastAsia="zh-CN"/>
        </w:rPr>
        <w:t xml:space="preserve">（租赁保证金应当以银行转账、电汇、支票、汇票、本票或者金融机构、担保机构出具的保函等非现金形式缴纳）。 </w:t>
      </w:r>
    </w:p>
    <w:p w14:paraId="1D820F81">
      <w:pPr>
        <w:pStyle w:val="22"/>
        <w:keepNext w:val="0"/>
        <w:keepLines w:val="0"/>
        <w:pageBreakBefore w:val="0"/>
        <w:widowControl w:val="0"/>
        <w:kinsoku/>
        <w:wordWrap/>
        <w:overflowPunct/>
        <w:topLinePunct w:val="0"/>
        <w:bidi w:val="0"/>
        <w:spacing w:line="360" w:lineRule="auto"/>
        <w:ind w:firstLine="562" w:firstLineChars="200"/>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注：以上为必须满足项，否则作无效响应处理。</w:t>
      </w:r>
    </w:p>
    <w:p w14:paraId="4DD7C3C5">
      <w:pPr>
        <w:pStyle w:val="22"/>
        <w:keepNext w:val="0"/>
        <w:keepLines w:val="0"/>
        <w:pageBreakBefore w:val="0"/>
        <w:widowControl w:val="0"/>
        <w:kinsoku/>
        <w:wordWrap/>
        <w:overflowPunct/>
        <w:topLinePunct w:val="0"/>
        <w:bidi w:val="0"/>
        <w:spacing w:line="360" w:lineRule="auto"/>
        <w:ind w:firstLine="562" w:firstLineChars="200"/>
        <w:textAlignment w:val="auto"/>
        <w:rPr>
          <w:rFonts w:hint="eastAsia" w:ascii="宋体" w:hAnsi="宋体" w:eastAsia="宋体" w:cs="宋体"/>
          <w:b/>
          <w:color w:val="auto"/>
          <w:sz w:val="28"/>
          <w:szCs w:val="28"/>
          <w:highlight w:val="none"/>
        </w:rPr>
      </w:pPr>
    </w:p>
    <w:p w14:paraId="131A1CAD">
      <w:pPr>
        <w:pStyle w:val="22"/>
        <w:keepNext w:val="0"/>
        <w:keepLines w:val="0"/>
        <w:pageBreakBefore w:val="0"/>
        <w:widowControl w:val="0"/>
        <w:kinsoku/>
        <w:wordWrap/>
        <w:overflowPunct/>
        <w:topLinePunct w:val="0"/>
        <w:bidi w:val="0"/>
        <w:spacing w:line="360" w:lineRule="auto"/>
        <w:ind w:firstLine="562" w:firstLineChars="200"/>
        <w:textAlignment w:val="auto"/>
        <w:rPr>
          <w:rFonts w:hint="eastAsia" w:ascii="宋体" w:hAnsi="宋体" w:eastAsia="宋体" w:cs="宋体"/>
          <w:b/>
          <w:color w:val="auto"/>
          <w:sz w:val="28"/>
          <w:szCs w:val="28"/>
          <w:highlight w:val="none"/>
        </w:rPr>
      </w:pPr>
    </w:p>
    <w:p w14:paraId="3C7B8608">
      <w:pPr>
        <w:pStyle w:val="22"/>
        <w:keepNext w:val="0"/>
        <w:keepLines w:val="0"/>
        <w:pageBreakBefore w:val="0"/>
        <w:widowControl w:val="0"/>
        <w:kinsoku/>
        <w:wordWrap/>
        <w:overflowPunct/>
        <w:topLinePunct w:val="0"/>
        <w:bidi w:val="0"/>
        <w:spacing w:line="360" w:lineRule="auto"/>
        <w:ind w:firstLine="562" w:firstLineChars="200"/>
        <w:textAlignment w:val="auto"/>
        <w:rPr>
          <w:rFonts w:hint="eastAsia" w:ascii="宋体" w:hAnsi="宋体" w:eastAsia="宋体" w:cs="宋体"/>
          <w:b/>
          <w:color w:val="auto"/>
          <w:sz w:val="28"/>
          <w:szCs w:val="28"/>
          <w:highlight w:val="none"/>
        </w:rPr>
      </w:pPr>
    </w:p>
    <w:p w14:paraId="7285F12D">
      <w:pPr>
        <w:pStyle w:val="22"/>
        <w:keepNext w:val="0"/>
        <w:keepLines w:val="0"/>
        <w:pageBreakBefore w:val="0"/>
        <w:widowControl w:val="0"/>
        <w:kinsoku/>
        <w:wordWrap/>
        <w:overflowPunct/>
        <w:topLinePunct w:val="0"/>
        <w:bidi w:val="0"/>
        <w:spacing w:line="360" w:lineRule="auto"/>
        <w:ind w:firstLine="562" w:firstLineChars="200"/>
        <w:textAlignment w:val="auto"/>
        <w:rPr>
          <w:rFonts w:hint="eastAsia" w:ascii="宋体" w:hAnsi="宋体" w:eastAsia="宋体" w:cs="宋体"/>
          <w:b/>
          <w:color w:val="auto"/>
          <w:sz w:val="28"/>
          <w:szCs w:val="28"/>
          <w:highlight w:val="none"/>
        </w:rPr>
      </w:pPr>
    </w:p>
    <w:p w14:paraId="05D7F1CC">
      <w:pPr>
        <w:pStyle w:val="22"/>
        <w:keepNext w:val="0"/>
        <w:keepLines w:val="0"/>
        <w:pageBreakBefore w:val="0"/>
        <w:widowControl w:val="0"/>
        <w:kinsoku/>
        <w:wordWrap/>
        <w:overflowPunct/>
        <w:topLinePunct w:val="0"/>
        <w:bidi w:val="0"/>
        <w:spacing w:line="360" w:lineRule="auto"/>
        <w:ind w:firstLine="562" w:firstLineChars="200"/>
        <w:textAlignment w:val="auto"/>
        <w:rPr>
          <w:rFonts w:hint="eastAsia" w:ascii="宋体" w:hAnsi="宋体" w:eastAsia="宋体" w:cs="宋体"/>
          <w:b/>
          <w:color w:val="auto"/>
          <w:sz w:val="28"/>
          <w:szCs w:val="28"/>
          <w:highlight w:val="none"/>
        </w:rPr>
      </w:pPr>
    </w:p>
    <w:p w14:paraId="07AC431B">
      <w:pPr>
        <w:pStyle w:val="22"/>
        <w:keepNext w:val="0"/>
        <w:keepLines w:val="0"/>
        <w:pageBreakBefore w:val="0"/>
        <w:widowControl w:val="0"/>
        <w:kinsoku/>
        <w:wordWrap/>
        <w:overflowPunct/>
        <w:topLinePunct w:val="0"/>
        <w:bidi w:val="0"/>
        <w:spacing w:line="360" w:lineRule="auto"/>
        <w:ind w:firstLine="562" w:firstLineChars="200"/>
        <w:textAlignment w:val="auto"/>
        <w:rPr>
          <w:rFonts w:hint="eastAsia" w:ascii="宋体" w:hAnsi="宋体" w:eastAsia="宋体" w:cs="宋体"/>
          <w:b/>
          <w:color w:val="auto"/>
          <w:sz w:val="28"/>
          <w:szCs w:val="28"/>
          <w:highlight w:val="none"/>
        </w:rPr>
      </w:pPr>
    </w:p>
    <w:p w14:paraId="3E6F5968">
      <w:pPr>
        <w:pStyle w:val="22"/>
        <w:keepNext w:val="0"/>
        <w:keepLines w:val="0"/>
        <w:pageBreakBefore w:val="0"/>
        <w:widowControl w:val="0"/>
        <w:kinsoku/>
        <w:wordWrap/>
        <w:overflowPunct/>
        <w:topLinePunct w:val="0"/>
        <w:bidi w:val="0"/>
        <w:spacing w:line="360" w:lineRule="auto"/>
        <w:ind w:firstLine="562" w:firstLineChars="200"/>
        <w:textAlignment w:val="auto"/>
        <w:rPr>
          <w:rFonts w:hint="eastAsia" w:ascii="宋体" w:hAnsi="宋体" w:eastAsia="宋体" w:cs="宋体"/>
          <w:b/>
          <w:color w:val="auto"/>
          <w:sz w:val="28"/>
          <w:szCs w:val="28"/>
          <w:highlight w:val="none"/>
        </w:rPr>
      </w:pPr>
    </w:p>
    <w:p w14:paraId="09F9AB63">
      <w:pPr>
        <w:pStyle w:val="22"/>
        <w:keepNext w:val="0"/>
        <w:keepLines w:val="0"/>
        <w:pageBreakBefore w:val="0"/>
        <w:widowControl w:val="0"/>
        <w:kinsoku/>
        <w:wordWrap/>
        <w:overflowPunct/>
        <w:topLinePunct w:val="0"/>
        <w:bidi w:val="0"/>
        <w:spacing w:line="360" w:lineRule="auto"/>
        <w:ind w:firstLine="562" w:firstLineChars="200"/>
        <w:textAlignment w:val="auto"/>
        <w:rPr>
          <w:rFonts w:hint="eastAsia" w:ascii="宋体" w:hAnsi="宋体" w:eastAsia="宋体" w:cs="宋体"/>
          <w:b/>
          <w:color w:val="auto"/>
          <w:sz w:val="28"/>
          <w:szCs w:val="28"/>
          <w:highlight w:val="none"/>
        </w:rPr>
      </w:pPr>
    </w:p>
    <w:p w14:paraId="61318D02">
      <w:pPr>
        <w:pStyle w:val="2"/>
        <w:spacing w:line="360" w:lineRule="auto"/>
        <w:jc w:val="center"/>
        <w:rPr>
          <w:rFonts w:hint="eastAsia" w:ascii="宋体" w:hAnsi="宋体" w:cs="宋体"/>
          <w:color w:val="auto"/>
          <w:sz w:val="32"/>
          <w:szCs w:val="32"/>
          <w:highlight w:val="none"/>
        </w:rPr>
      </w:pPr>
      <w:bookmarkStart w:id="49" w:name="_Toc3473"/>
      <w:bookmarkStart w:id="50" w:name="_Toc22420"/>
      <w:bookmarkStart w:id="51" w:name="_Toc22305"/>
      <w:r>
        <w:rPr>
          <w:rFonts w:hint="eastAsia" w:ascii="宋体" w:hAnsi="宋体" w:cs="宋体"/>
          <w:color w:val="auto"/>
          <w:sz w:val="32"/>
          <w:szCs w:val="32"/>
          <w:highlight w:val="none"/>
          <w:lang w:val="en-US" w:eastAsia="zh-CN"/>
        </w:rPr>
        <w:t>第五章</w:t>
      </w:r>
      <w:r>
        <w:rPr>
          <w:rFonts w:hint="eastAsia" w:ascii="宋体" w:hAnsi="宋体" w:cs="宋体"/>
          <w:color w:val="auto"/>
          <w:sz w:val="32"/>
          <w:szCs w:val="32"/>
          <w:highlight w:val="none"/>
        </w:rPr>
        <w:t>、合同格式（参考格式）</w:t>
      </w:r>
      <w:bookmarkEnd w:id="49"/>
      <w:bookmarkEnd w:id="50"/>
      <w:bookmarkEnd w:id="51"/>
    </w:p>
    <w:p w14:paraId="1EA6EE26">
      <w:pPr>
        <w:pStyle w:val="3"/>
        <w:bidi w:val="0"/>
        <w:jc w:val="center"/>
        <w:rPr>
          <w:rFonts w:hint="eastAsia"/>
          <w:color w:val="auto"/>
          <w:highlight w:val="none"/>
        </w:rPr>
      </w:pPr>
      <w:bookmarkStart w:id="52" w:name="_Toc18980"/>
      <w:bookmarkStart w:id="53" w:name="_Toc12008"/>
      <w:r>
        <w:rPr>
          <w:rFonts w:hint="eastAsia"/>
          <w:color w:val="auto"/>
          <w:highlight w:val="none"/>
        </w:rPr>
        <w:t>租赁合同</w:t>
      </w:r>
      <w:bookmarkEnd w:id="52"/>
      <w:bookmarkEnd w:id="53"/>
    </w:p>
    <w:p w14:paraId="5E73366D">
      <w:pPr>
        <w:spacing w:line="560" w:lineRule="exact"/>
        <w:jc w:val="center"/>
        <w:rPr>
          <w:rFonts w:hint="eastAsia" w:ascii="宋体" w:hAnsi="宋体" w:cs="宋体"/>
          <w:b/>
          <w:bCs/>
          <w:color w:val="auto"/>
          <w:sz w:val="36"/>
          <w:highlight w:val="none"/>
        </w:rPr>
      </w:pPr>
    </w:p>
    <w:p w14:paraId="19174524">
      <w:pPr>
        <w:spacing w:line="560" w:lineRule="exact"/>
        <w:jc w:val="center"/>
        <w:rPr>
          <w:rFonts w:hint="eastAsia" w:ascii="宋体" w:hAnsi="宋体" w:cs="宋体"/>
          <w:color w:val="auto"/>
          <w:sz w:val="30"/>
          <w:szCs w:val="30"/>
          <w:highlight w:val="none"/>
        </w:rPr>
      </w:pPr>
      <w:r>
        <w:rPr>
          <w:rFonts w:hint="eastAsia" w:ascii="宋体" w:hAnsi="宋体" w:cs="宋体"/>
          <w:b/>
          <w:bCs/>
          <w:color w:val="auto"/>
          <w:sz w:val="44"/>
          <w:highlight w:val="none"/>
        </w:rPr>
        <w:t xml:space="preserve">                     </w:t>
      </w:r>
      <w:r>
        <w:rPr>
          <w:rFonts w:hint="eastAsia" w:ascii="宋体" w:hAnsi="宋体" w:cs="宋体"/>
          <w:b/>
          <w:bCs/>
          <w:color w:val="auto"/>
          <w:sz w:val="30"/>
          <w:szCs w:val="30"/>
          <w:highlight w:val="none"/>
        </w:rPr>
        <w:t xml:space="preserve">  </w:t>
      </w:r>
      <w:r>
        <w:rPr>
          <w:rFonts w:hint="eastAsia" w:ascii="宋体" w:hAnsi="宋体" w:cs="宋体"/>
          <w:color w:val="auto"/>
          <w:sz w:val="30"/>
          <w:szCs w:val="30"/>
          <w:highlight w:val="none"/>
        </w:rPr>
        <w:t>（合同编号：       ）</w:t>
      </w:r>
    </w:p>
    <w:p w14:paraId="0B0D05A8">
      <w:pPr>
        <w:spacing w:line="560" w:lineRule="exact"/>
        <w:rPr>
          <w:rFonts w:hint="eastAsia" w:ascii="宋体" w:hAnsi="宋体" w:cs="宋体"/>
          <w:b/>
          <w:bCs/>
          <w:color w:val="auto"/>
          <w:sz w:val="30"/>
          <w:szCs w:val="30"/>
          <w:highlight w:val="none"/>
        </w:rPr>
      </w:pPr>
    </w:p>
    <w:p w14:paraId="20DFFCDE">
      <w:pPr>
        <w:spacing w:line="560" w:lineRule="exact"/>
        <w:rPr>
          <w:rFonts w:hint="eastAsia" w:ascii="宋体" w:hAnsi="宋体" w:eastAsia="宋体" w:cs="宋体"/>
          <w:b/>
          <w:bCs/>
          <w:color w:val="auto"/>
          <w:sz w:val="28"/>
          <w:szCs w:val="28"/>
          <w:highlight w:val="none"/>
          <w:lang w:eastAsia="zh-CN"/>
        </w:rPr>
      </w:pPr>
      <w:r>
        <w:rPr>
          <w:rFonts w:hint="eastAsia" w:ascii="宋体" w:hAnsi="宋体" w:cs="宋体"/>
          <w:b/>
          <w:bCs/>
          <w:color w:val="auto"/>
          <w:sz w:val="28"/>
          <w:szCs w:val="28"/>
          <w:highlight w:val="none"/>
        </w:rPr>
        <w:t>出租方名称(甲方):</w:t>
      </w:r>
      <w:r>
        <w:rPr>
          <w:rFonts w:hint="eastAsia" w:ascii="宋体" w:hAnsi="宋体" w:cs="宋体"/>
          <w:b/>
          <w:bCs/>
          <w:color w:val="auto"/>
          <w:sz w:val="28"/>
          <w:szCs w:val="28"/>
          <w:highlight w:val="none"/>
          <w:lang w:eastAsia="zh-CN"/>
        </w:rPr>
        <w:t xml:space="preserve"> 南昌市红谷滩城市投资集团有限公司</w:t>
      </w:r>
    </w:p>
    <w:p w14:paraId="367255FB">
      <w:pPr>
        <w:spacing w:line="560" w:lineRule="exact"/>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 xml:space="preserve">法定地址： </w:t>
      </w:r>
      <w:r>
        <w:rPr>
          <w:rFonts w:hint="eastAsia" w:ascii="宋体" w:hAnsi="宋体" w:cs="宋体"/>
          <w:b/>
          <w:bCs/>
          <w:color w:val="auto"/>
          <w:sz w:val="28"/>
          <w:szCs w:val="28"/>
          <w:highlight w:val="none"/>
          <w:lang w:val="en-US" w:eastAsia="zh-CN"/>
        </w:rPr>
        <w:t xml:space="preserve">                          </w:t>
      </w:r>
      <w:r>
        <w:rPr>
          <w:rFonts w:hint="eastAsia" w:ascii="宋体" w:hAnsi="宋体" w:cs="宋体"/>
          <w:b/>
          <w:bCs/>
          <w:color w:val="auto"/>
          <w:sz w:val="28"/>
          <w:szCs w:val="28"/>
          <w:highlight w:val="none"/>
        </w:rPr>
        <w:t>电话：</w:t>
      </w:r>
    </w:p>
    <w:p w14:paraId="4F64F204">
      <w:pPr>
        <w:spacing w:line="560" w:lineRule="exact"/>
        <w:rPr>
          <w:rFonts w:hint="eastAsia" w:ascii="宋体" w:hAnsi="宋体" w:cs="宋体"/>
          <w:b/>
          <w:bCs/>
          <w:color w:val="auto"/>
          <w:sz w:val="28"/>
          <w:szCs w:val="28"/>
          <w:highlight w:val="none"/>
        </w:rPr>
      </w:pPr>
    </w:p>
    <w:p w14:paraId="1F01E803">
      <w:pPr>
        <w:spacing w:line="560" w:lineRule="exact"/>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 xml:space="preserve">承租方名称(乙方): </w:t>
      </w:r>
    </w:p>
    <w:p w14:paraId="275AE48C">
      <w:pPr>
        <w:spacing w:line="560" w:lineRule="exact"/>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 xml:space="preserve">法定地址：                                 电话： </w:t>
      </w:r>
    </w:p>
    <w:p w14:paraId="7E54BDDB">
      <w:pPr>
        <w:pStyle w:val="6"/>
        <w:spacing w:line="360" w:lineRule="auto"/>
        <w:ind w:firstLine="480" w:firstLineChars="200"/>
        <w:rPr>
          <w:rFonts w:hint="eastAsia" w:ascii="宋体" w:hAnsi="宋体" w:cs="宋体"/>
          <w:color w:val="auto"/>
          <w:szCs w:val="30"/>
          <w:highlight w:val="none"/>
        </w:rPr>
      </w:pPr>
    </w:p>
    <w:p w14:paraId="786634E5">
      <w:pPr>
        <w:spacing w:line="360" w:lineRule="auto"/>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根据《中华人民共和国民法典》、《中华人民共和国城市房地产管理法》等法律、法规的规定，甲乙双方在平等、自愿、公平和诚实信用的基础上，经协商一致，就甲方可依法出租的房屋，订立本租赁合同。</w:t>
      </w:r>
    </w:p>
    <w:p w14:paraId="776D3BE4">
      <w:pPr>
        <w:numPr>
          <w:ilvl w:val="0"/>
          <w:numId w:val="7"/>
        </w:numPr>
        <w:spacing w:line="360" w:lineRule="auto"/>
        <w:ind w:firstLine="562" w:firstLineChars="200"/>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租赁场地</w:t>
      </w:r>
    </w:p>
    <w:p w14:paraId="0E7EFD60">
      <w:pPr>
        <w:spacing w:line="360" w:lineRule="auto"/>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1、甲方出租给乙方的物业座落于</w:t>
      </w:r>
      <w:r>
        <w:rPr>
          <w:rFonts w:hint="eastAsia" w:ascii="宋体" w:hAnsi="宋体" w:cs="宋体"/>
          <w:color w:val="auto"/>
          <w:sz w:val="28"/>
          <w:szCs w:val="28"/>
          <w:highlight w:val="none"/>
          <w:u w:val="single"/>
          <w:lang w:val="en-US" w:eastAsia="zh-CN"/>
        </w:rPr>
        <w:t xml:space="preserve">             </w:t>
      </w:r>
      <w:r>
        <w:rPr>
          <w:rFonts w:hint="eastAsia" w:ascii="宋体" w:hAnsi="宋体" w:cs="宋体"/>
          <w:color w:val="auto"/>
          <w:sz w:val="28"/>
          <w:szCs w:val="28"/>
          <w:highlight w:val="none"/>
        </w:rPr>
        <w:t>（以下简称“租赁物业”），该物业建筑面积为</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平方米。</w:t>
      </w:r>
    </w:p>
    <w:p w14:paraId="71E32751">
      <w:pPr>
        <w:pStyle w:val="13"/>
        <w:spacing w:before="0" w:after="0" w:line="360" w:lineRule="auto"/>
        <w:ind w:firstLine="560" w:firstLineChars="200"/>
        <w:jc w:val="both"/>
        <w:rPr>
          <w:rFonts w:hint="eastAsia" w:ascii="宋体" w:hAnsi="宋体"/>
          <w:color w:val="auto"/>
          <w:sz w:val="28"/>
          <w:szCs w:val="28"/>
          <w:highlight w:val="none"/>
        </w:rPr>
      </w:pPr>
      <w:r>
        <w:rPr>
          <w:rFonts w:hint="eastAsia" w:ascii="宋体" w:hAnsi="宋体"/>
          <w:color w:val="auto"/>
          <w:sz w:val="28"/>
          <w:szCs w:val="28"/>
          <w:highlight w:val="none"/>
        </w:rPr>
        <w:t>2、该房屋为现状出租，乙方是在事先已充分了解并接受该房屋现状的情况下承租的，甲方不再对该房屋作任何投入及维修整改，甲方交付房屋之前已产生的主体结构质量问题除外。</w:t>
      </w:r>
    </w:p>
    <w:p w14:paraId="1B9FFFB8">
      <w:pPr>
        <w:spacing w:line="360" w:lineRule="auto"/>
        <w:ind w:firstLine="560" w:firstLineChars="200"/>
        <w:rPr>
          <w:rFonts w:hint="eastAsia" w:ascii="宋体" w:hAnsi="宋体" w:cs="宋体"/>
          <w:b/>
          <w:bCs/>
          <w:color w:val="auto"/>
          <w:sz w:val="28"/>
          <w:szCs w:val="28"/>
          <w:highlight w:val="none"/>
        </w:rPr>
      </w:pPr>
      <w:r>
        <w:rPr>
          <w:rFonts w:hint="eastAsia" w:ascii="宋体" w:hAnsi="宋体" w:cs="宋体"/>
          <w:color w:val="auto"/>
          <w:sz w:val="28"/>
          <w:szCs w:val="28"/>
          <w:highlight w:val="none"/>
        </w:rPr>
        <w:t>二、</w:t>
      </w:r>
      <w:r>
        <w:rPr>
          <w:rFonts w:hint="eastAsia" w:ascii="宋体" w:hAnsi="宋体" w:cs="宋体"/>
          <w:b/>
          <w:bCs/>
          <w:color w:val="auto"/>
          <w:sz w:val="28"/>
          <w:szCs w:val="28"/>
          <w:highlight w:val="none"/>
        </w:rPr>
        <w:t>租赁用途</w:t>
      </w:r>
    </w:p>
    <w:p w14:paraId="01D581C9">
      <w:pPr>
        <w:spacing w:line="360" w:lineRule="auto"/>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1、乙方租赁该房屋作为从事合法的</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使用</w:t>
      </w:r>
      <w:r>
        <w:rPr>
          <w:rFonts w:hint="eastAsia" w:ascii="宋体" w:hAnsi="宋体" w:cs="宋体"/>
          <w:color w:val="auto"/>
          <w:sz w:val="28"/>
          <w:szCs w:val="28"/>
          <w:highlight w:val="none"/>
          <w:lang w:eastAsia="zh-CN"/>
        </w:rPr>
        <w:t>（详见第八条第四款）</w:t>
      </w:r>
      <w:r>
        <w:rPr>
          <w:rFonts w:hint="eastAsia" w:ascii="宋体" w:hAnsi="宋体" w:cs="宋体"/>
          <w:color w:val="auto"/>
          <w:sz w:val="28"/>
          <w:szCs w:val="28"/>
          <w:highlight w:val="none"/>
        </w:rPr>
        <w:t>，经营项目</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，并承诺遵守国家和当地房屋管理部门有关房屋使用和物业管理的规定。</w:t>
      </w:r>
    </w:p>
    <w:p w14:paraId="0E215704">
      <w:pPr>
        <w:spacing w:line="360" w:lineRule="auto"/>
        <w:ind w:firstLine="560" w:firstLineChars="200"/>
        <w:rPr>
          <w:rFonts w:hint="eastAsia" w:ascii="宋体" w:hAnsi="宋体" w:cs="宋体"/>
          <w:b/>
          <w:bCs/>
          <w:color w:val="auto"/>
          <w:sz w:val="28"/>
          <w:szCs w:val="28"/>
          <w:highlight w:val="none"/>
        </w:rPr>
      </w:pPr>
      <w:r>
        <w:rPr>
          <w:rFonts w:hint="eastAsia" w:ascii="宋体" w:hAnsi="宋体" w:cs="宋体"/>
          <w:color w:val="auto"/>
          <w:sz w:val="28"/>
          <w:szCs w:val="28"/>
          <w:highlight w:val="none"/>
        </w:rPr>
        <w:t>2、乙方保证，在租赁期内未征得甲方书面同意以及按规定须经有关部门审批核准前，不擅自改变上款约定的房屋使用用途及经营项目。</w:t>
      </w:r>
    </w:p>
    <w:p w14:paraId="309CCB57">
      <w:pPr>
        <w:spacing w:line="360" w:lineRule="auto"/>
        <w:ind w:firstLine="562" w:firstLineChars="200"/>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三、交付日期及租赁期限</w:t>
      </w:r>
    </w:p>
    <w:p w14:paraId="4D92BE6B">
      <w:pPr>
        <w:numPr>
          <w:ilvl w:val="0"/>
          <w:numId w:val="8"/>
        </w:numPr>
        <w:spacing w:line="58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甲乙双方约定，甲方于</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年</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月</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日前向乙方交付该房屋，乙方自验收房屋之日起3日内与甲方指定的物业公司签订物业合同。</w:t>
      </w:r>
    </w:p>
    <w:p w14:paraId="7F9157B3">
      <w:pPr>
        <w:numPr>
          <w:ilvl w:val="0"/>
          <w:numId w:val="8"/>
        </w:numPr>
        <w:spacing w:line="360" w:lineRule="auto"/>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租赁期限为</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年，自</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年</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月</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日至</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年</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月</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日止。</w:t>
      </w:r>
    </w:p>
    <w:p w14:paraId="6F93A41C">
      <w:pPr>
        <w:numPr>
          <w:ilvl w:val="0"/>
          <w:numId w:val="8"/>
        </w:numPr>
        <w:spacing w:line="360" w:lineRule="auto"/>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装修免租期：自</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年</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月</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日至</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年</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月</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日止，不计租金。乙方不得以任何理由申请延长免租期，超过装修免租期，乙方应该按照前述约定，缴纳租金。</w:t>
      </w:r>
    </w:p>
    <w:p w14:paraId="7B403792">
      <w:pPr>
        <w:numPr>
          <w:ilvl w:val="0"/>
          <w:numId w:val="8"/>
        </w:numPr>
        <w:spacing w:line="360" w:lineRule="auto"/>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乙方必须保证承租房屋中，用于合同第二条第一款中约定经营用途配套办公的面积不超过</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m</w:t>
      </w:r>
      <w:r>
        <w:rPr>
          <w:rFonts w:hint="eastAsia" w:ascii="宋体" w:hAnsi="宋体" w:cs="宋体"/>
          <w:color w:val="auto"/>
          <w:sz w:val="28"/>
          <w:szCs w:val="28"/>
          <w:highlight w:val="none"/>
          <w:vertAlign w:val="superscript"/>
        </w:rPr>
        <w:t>2</w:t>
      </w:r>
      <w:r>
        <w:rPr>
          <w:rFonts w:hint="eastAsia" w:ascii="宋体" w:hAnsi="宋体" w:cs="宋体"/>
          <w:color w:val="auto"/>
          <w:sz w:val="28"/>
          <w:szCs w:val="28"/>
          <w:highlight w:val="none"/>
        </w:rPr>
        <w:t xml:space="preserve">，否则视为乙方违约。      </w:t>
      </w:r>
    </w:p>
    <w:p w14:paraId="397345A2">
      <w:pPr>
        <w:numPr>
          <w:ilvl w:val="0"/>
          <w:numId w:val="8"/>
        </w:numPr>
        <w:spacing w:line="360" w:lineRule="auto"/>
        <w:ind w:firstLine="560" w:firstLineChars="200"/>
        <w:rPr>
          <w:rFonts w:hint="eastAsia" w:ascii="宋体" w:hAnsi="宋体" w:cs="宋体"/>
          <w:b/>
          <w:bCs/>
          <w:color w:val="auto"/>
          <w:sz w:val="28"/>
          <w:szCs w:val="28"/>
          <w:highlight w:val="none"/>
        </w:rPr>
      </w:pPr>
      <w:r>
        <w:rPr>
          <w:rFonts w:hint="eastAsia" w:ascii="宋体" w:hAnsi="宋体" w:cs="宋体"/>
          <w:color w:val="auto"/>
          <w:sz w:val="28"/>
          <w:szCs w:val="28"/>
          <w:highlight w:val="none"/>
        </w:rPr>
        <w:t>租赁期限届满，如乙方在本合同履行过程中不存在违约行为，则乙方在同等条件下享有优先承租权，但乙方未在租赁期限届满3个月前向甲方书面提出续租要求的，视为乙方放弃优先承租权。</w:t>
      </w:r>
    </w:p>
    <w:p w14:paraId="1C998170">
      <w:pPr>
        <w:spacing w:line="360" w:lineRule="auto"/>
        <w:ind w:firstLine="562" w:firstLineChars="200"/>
        <w:rPr>
          <w:rFonts w:hint="eastAsia" w:ascii="宋体" w:hAnsi="宋体" w:cs="宋体"/>
          <w:color w:val="auto"/>
          <w:sz w:val="28"/>
          <w:szCs w:val="28"/>
          <w:highlight w:val="none"/>
        </w:rPr>
      </w:pPr>
      <w:r>
        <w:rPr>
          <w:rFonts w:hint="eastAsia" w:ascii="宋体" w:hAnsi="宋体" w:cs="宋体"/>
          <w:b/>
          <w:bCs/>
          <w:color w:val="auto"/>
          <w:sz w:val="28"/>
          <w:szCs w:val="28"/>
          <w:highlight w:val="none"/>
        </w:rPr>
        <w:t>四、租金及支付方式</w:t>
      </w:r>
    </w:p>
    <w:p w14:paraId="3068938D">
      <w:pPr>
        <w:spacing w:line="360" w:lineRule="auto"/>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1、该合同总价为人民币：</w:t>
      </w:r>
      <w:r>
        <w:rPr>
          <w:rFonts w:hint="eastAsia" w:ascii="宋体" w:hAnsi="宋体" w:cs="宋体"/>
          <w:color w:val="auto"/>
          <w:sz w:val="28"/>
          <w:szCs w:val="28"/>
          <w:highlight w:val="none"/>
          <w:u w:val="single"/>
        </w:rPr>
        <w:t xml:space="preserve">     （¥   元） </w:t>
      </w:r>
    </w:p>
    <w:p w14:paraId="511B022F">
      <w:pPr>
        <w:adjustRightInd w:val="0"/>
        <w:snapToGrid w:val="0"/>
        <w:spacing w:line="288" w:lineRule="auto"/>
        <w:ind w:firstLine="560" w:firstLineChars="200"/>
        <w:jc w:val="left"/>
        <w:textAlignment w:val="baseline"/>
        <w:rPr>
          <w:rFonts w:hint="eastAsia" w:ascii="宋体" w:hAnsi="宋体" w:cs="宋体"/>
          <w:color w:val="auto"/>
          <w:sz w:val="28"/>
          <w:szCs w:val="28"/>
          <w:highlight w:val="none"/>
        </w:rPr>
      </w:pPr>
      <w:r>
        <w:rPr>
          <w:rFonts w:hint="eastAsia" w:ascii="宋体" w:hAnsi="宋体" w:cs="宋体"/>
          <w:color w:val="auto"/>
          <w:sz w:val="28"/>
          <w:szCs w:val="28"/>
          <w:highlight w:val="none"/>
        </w:rPr>
        <w:t>各年度租金标准如下：</w:t>
      </w:r>
    </w:p>
    <w:tbl>
      <w:tblPr>
        <w:tblStyle w:val="16"/>
        <w:tblpPr w:leftFromText="180" w:rightFromText="180" w:vertAnchor="text" w:horzAnchor="page" w:tblpX="1212" w:tblpY="162"/>
        <w:tblOverlap w:val="never"/>
        <w:tblW w:w="95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3"/>
        <w:gridCol w:w="839"/>
        <w:gridCol w:w="1725"/>
        <w:gridCol w:w="1984"/>
        <w:gridCol w:w="1970"/>
      </w:tblGrid>
      <w:tr w14:paraId="6E583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073" w:type="dxa"/>
            <w:noWrap w:val="0"/>
            <w:vAlign w:val="center"/>
          </w:tcPr>
          <w:p w14:paraId="399E62A0">
            <w:pPr>
              <w:adjustRightInd w:val="0"/>
              <w:snapToGrid w:val="0"/>
              <w:spacing w:line="288" w:lineRule="auto"/>
              <w:jc w:val="center"/>
              <w:textAlignment w:val="baseline"/>
              <w:rPr>
                <w:rFonts w:hint="eastAsia" w:ascii="宋体" w:hAnsi="宋体" w:cs="宋体"/>
                <w:color w:val="auto"/>
                <w:sz w:val="28"/>
                <w:szCs w:val="28"/>
                <w:highlight w:val="none"/>
              </w:rPr>
            </w:pPr>
            <w:r>
              <w:rPr>
                <w:rFonts w:hint="eastAsia" w:ascii="宋体" w:hAnsi="宋体" w:cs="宋体"/>
                <w:color w:val="auto"/>
                <w:sz w:val="28"/>
                <w:szCs w:val="28"/>
                <w:highlight w:val="none"/>
              </w:rPr>
              <w:t>时间（年份）</w:t>
            </w:r>
          </w:p>
        </w:tc>
        <w:tc>
          <w:tcPr>
            <w:tcW w:w="839" w:type="dxa"/>
            <w:noWrap w:val="0"/>
            <w:vAlign w:val="center"/>
          </w:tcPr>
          <w:p w14:paraId="32B18C20">
            <w:pPr>
              <w:adjustRightInd w:val="0"/>
              <w:snapToGrid w:val="0"/>
              <w:spacing w:line="288" w:lineRule="auto"/>
              <w:jc w:val="center"/>
              <w:textAlignment w:val="baseline"/>
              <w:rPr>
                <w:rFonts w:hint="eastAsia" w:ascii="宋体" w:hAnsi="宋体" w:cs="宋体"/>
                <w:color w:val="auto"/>
                <w:sz w:val="28"/>
                <w:szCs w:val="28"/>
                <w:highlight w:val="none"/>
              </w:rPr>
            </w:pPr>
            <w:r>
              <w:rPr>
                <w:rFonts w:hint="eastAsia" w:ascii="宋体" w:hAnsi="宋体" w:cs="宋体"/>
                <w:color w:val="auto"/>
                <w:sz w:val="28"/>
                <w:szCs w:val="28"/>
                <w:highlight w:val="none"/>
              </w:rPr>
              <w:t>调整</w:t>
            </w:r>
          </w:p>
        </w:tc>
        <w:tc>
          <w:tcPr>
            <w:tcW w:w="1725" w:type="dxa"/>
            <w:noWrap w:val="0"/>
            <w:vAlign w:val="center"/>
          </w:tcPr>
          <w:p w14:paraId="2F67FDA0">
            <w:pPr>
              <w:adjustRightInd w:val="0"/>
              <w:snapToGrid w:val="0"/>
              <w:spacing w:line="288" w:lineRule="auto"/>
              <w:jc w:val="center"/>
              <w:textAlignment w:val="baseline"/>
              <w:rPr>
                <w:rFonts w:hint="eastAsia" w:ascii="宋体" w:hAnsi="宋体" w:cs="宋体"/>
                <w:color w:val="auto"/>
                <w:sz w:val="28"/>
                <w:szCs w:val="28"/>
                <w:highlight w:val="none"/>
              </w:rPr>
            </w:pPr>
            <w:r>
              <w:rPr>
                <w:rFonts w:hint="eastAsia" w:ascii="宋体" w:hAnsi="宋体" w:cs="宋体"/>
                <w:color w:val="auto"/>
                <w:sz w:val="28"/>
                <w:szCs w:val="28"/>
                <w:highlight w:val="none"/>
              </w:rPr>
              <w:t>租金标准(元/㎡/月）</w:t>
            </w:r>
          </w:p>
        </w:tc>
        <w:tc>
          <w:tcPr>
            <w:tcW w:w="1984" w:type="dxa"/>
            <w:noWrap w:val="0"/>
            <w:vAlign w:val="center"/>
          </w:tcPr>
          <w:p w14:paraId="03093FF8">
            <w:pPr>
              <w:adjustRightInd w:val="0"/>
              <w:snapToGrid w:val="0"/>
              <w:spacing w:line="288" w:lineRule="auto"/>
              <w:jc w:val="center"/>
              <w:textAlignment w:val="baseline"/>
              <w:rPr>
                <w:rFonts w:hint="eastAsia" w:ascii="宋体" w:hAnsi="宋体" w:cs="宋体"/>
                <w:color w:val="auto"/>
                <w:sz w:val="28"/>
                <w:szCs w:val="28"/>
                <w:highlight w:val="none"/>
              </w:rPr>
            </w:pPr>
            <w:r>
              <w:rPr>
                <w:rFonts w:hint="eastAsia" w:ascii="宋体" w:hAnsi="宋体" w:cs="宋体"/>
                <w:color w:val="auto"/>
                <w:sz w:val="28"/>
                <w:szCs w:val="28"/>
                <w:highlight w:val="none"/>
              </w:rPr>
              <w:t>月租金</w:t>
            </w:r>
          </w:p>
          <w:p w14:paraId="5EFD5124">
            <w:pPr>
              <w:adjustRightInd w:val="0"/>
              <w:snapToGrid w:val="0"/>
              <w:spacing w:line="288" w:lineRule="auto"/>
              <w:jc w:val="center"/>
              <w:textAlignment w:val="baseline"/>
              <w:rPr>
                <w:rFonts w:hint="eastAsia" w:ascii="宋体" w:hAnsi="宋体" w:cs="宋体"/>
                <w:color w:val="auto"/>
                <w:sz w:val="28"/>
                <w:szCs w:val="28"/>
                <w:highlight w:val="none"/>
              </w:rPr>
            </w:pPr>
            <w:r>
              <w:rPr>
                <w:rFonts w:hint="eastAsia" w:ascii="宋体" w:hAnsi="宋体" w:cs="宋体"/>
                <w:color w:val="auto"/>
                <w:sz w:val="28"/>
                <w:szCs w:val="28"/>
                <w:highlight w:val="none"/>
              </w:rPr>
              <w:t>（元）</w:t>
            </w:r>
          </w:p>
        </w:tc>
        <w:tc>
          <w:tcPr>
            <w:tcW w:w="1970" w:type="dxa"/>
            <w:noWrap w:val="0"/>
            <w:vAlign w:val="center"/>
          </w:tcPr>
          <w:p w14:paraId="79F84BCD">
            <w:pPr>
              <w:adjustRightInd w:val="0"/>
              <w:snapToGrid w:val="0"/>
              <w:spacing w:line="288" w:lineRule="auto"/>
              <w:jc w:val="center"/>
              <w:textAlignment w:val="baseline"/>
              <w:rPr>
                <w:rFonts w:hint="eastAsia" w:ascii="宋体" w:hAnsi="宋体" w:cs="宋体"/>
                <w:color w:val="auto"/>
                <w:sz w:val="28"/>
                <w:szCs w:val="28"/>
                <w:highlight w:val="none"/>
              </w:rPr>
            </w:pPr>
            <w:r>
              <w:rPr>
                <w:rFonts w:hint="eastAsia" w:ascii="宋体" w:hAnsi="宋体" w:cs="宋体"/>
                <w:color w:val="auto"/>
                <w:sz w:val="28"/>
                <w:szCs w:val="28"/>
                <w:highlight w:val="none"/>
              </w:rPr>
              <w:t>期间租金（元）</w:t>
            </w:r>
          </w:p>
        </w:tc>
      </w:tr>
      <w:tr w14:paraId="59265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3073" w:type="dxa"/>
            <w:noWrap w:val="0"/>
            <w:vAlign w:val="center"/>
          </w:tcPr>
          <w:p w14:paraId="4E2D6AA2">
            <w:pPr>
              <w:adjustRightInd w:val="0"/>
              <w:snapToGrid w:val="0"/>
              <w:spacing w:line="288" w:lineRule="auto"/>
              <w:jc w:val="center"/>
              <w:textAlignment w:val="baseline"/>
              <w:rPr>
                <w:rFonts w:hint="eastAsia" w:ascii="宋体" w:hAnsi="宋体" w:cs="宋体"/>
                <w:color w:val="auto"/>
                <w:sz w:val="28"/>
                <w:szCs w:val="28"/>
                <w:highlight w:val="none"/>
              </w:rPr>
            </w:pPr>
          </w:p>
        </w:tc>
        <w:tc>
          <w:tcPr>
            <w:tcW w:w="839" w:type="dxa"/>
            <w:noWrap w:val="0"/>
            <w:vAlign w:val="center"/>
          </w:tcPr>
          <w:p w14:paraId="4DE87C1B">
            <w:pPr>
              <w:adjustRightInd w:val="0"/>
              <w:snapToGrid w:val="0"/>
              <w:spacing w:line="288" w:lineRule="auto"/>
              <w:jc w:val="center"/>
              <w:textAlignment w:val="baseline"/>
              <w:rPr>
                <w:rFonts w:hint="eastAsia" w:ascii="宋体" w:hAnsi="宋体" w:cs="宋体"/>
                <w:color w:val="auto"/>
                <w:sz w:val="28"/>
                <w:szCs w:val="28"/>
                <w:highlight w:val="none"/>
              </w:rPr>
            </w:pPr>
          </w:p>
        </w:tc>
        <w:tc>
          <w:tcPr>
            <w:tcW w:w="1725" w:type="dxa"/>
            <w:noWrap w:val="0"/>
            <w:vAlign w:val="center"/>
          </w:tcPr>
          <w:p w14:paraId="239272D3">
            <w:pPr>
              <w:jc w:val="center"/>
              <w:rPr>
                <w:rFonts w:hint="eastAsia" w:ascii="宋体" w:hAnsi="宋体" w:cs="宋体"/>
                <w:color w:val="auto"/>
                <w:sz w:val="28"/>
                <w:szCs w:val="28"/>
                <w:highlight w:val="none"/>
              </w:rPr>
            </w:pPr>
          </w:p>
        </w:tc>
        <w:tc>
          <w:tcPr>
            <w:tcW w:w="1984" w:type="dxa"/>
            <w:noWrap w:val="0"/>
            <w:vAlign w:val="center"/>
          </w:tcPr>
          <w:p w14:paraId="41088243">
            <w:pPr>
              <w:jc w:val="center"/>
              <w:rPr>
                <w:rFonts w:hint="eastAsia" w:ascii="宋体" w:hAnsi="宋体" w:cs="宋体"/>
                <w:color w:val="auto"/>
                <w:sz w:val="28"/>
                <w:szCs w:val="28"/>
                <w:highlight w:val="none"/>
              </w:rPr>
            </w:pPr>
          </w:p>
        </w:tc>
        <w:tc>
          <w:tcPr>
            <w:tcW w:w="1970" w:type="dxa"/>
            <w:noWrap w:val="0"/>
            <w:vAlign w:val="center"/>
          </w:tcPr>
          <w:p w14:paraId="34F60356">
            <w:pPr>
              <w:jc w:val="center"/>
              <w:rPr>
                <w:rFonts w:hint="eastAsia" w:ascii="宋体" w:hAnsi="宋体" w:cs="宋体"/>
                <w:color w:val="auto"/>
                <w:sz w:val="28"/>
                <w:szCs w:val="28"/>
                <w:highlight w:val="none"/>
              </w:rPr>
            </w:pPr>
          </w:p>
        </w:tc>
      </w:tr>
      <w:tr w14:paraId="2B375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3073" w:type="dxa"/>
            <w:noWrap w:val="0"/>
            <w:vAlign w:val="center"/>
          </w:tcPr>
          <w:p w14:paraId="581AF6BA">
            <w:pPr>
              <w:adjustRightInd w:val="0"/>
              <w:snapToGrid w:val="0"/>
              <w:spacing w:line="288" w:lineRule="auto"/>
              <w:jc w:val="center"/>
              <w:textAlignment w:val="baseline"/>
              <w:rPr>
                <w:rFonts w:hint="eastAsia" w:ascii="宋体" w:hAnsi="宋体" w:cs="宋体"/>
                <w:color w:val="auto"/>
                <w:sz w:val="28"/>
                <w:szCs w:val="28"/>
                <w:highlight w:val="none"/>
              </w:rPr>
            </w:pPr>
          </w:p>
        </w:tc>
        <w:tc>
          <w:tcPr>
            <w:tcW w:w="839" w:type="dxa"/>
            <w:noWrap w:val="0"/>
            <w:vAlign w:val="center"/>
          </w:tcPr>
          <w:p w14:paraId="5653F8E2">
            <w:pPr>
              <w:adjustRightInd w:val="0"/>
              <w:snapToGrid w:val="0"/>
              <w:spacing w:line="288" w:lineRule="auto"/>
              <w:jc w:val="center"/>
              <w:textAlignment w:val="baseline"/>
              <w:rPr>
                <w:rFonts w:hint="eastAsia" w:ascii="宋体" w:hAnsi="宋体" w:cs="宋体"/>
                <w:color w:val="auto"/>
                <w:sz w:val="28"/>
                <w:szCs w:val="28"/>
                <w:highlight w:val="none"/>
              </w:rPr>
            </w:pPr>
          </w:p>
        </w:tc>
        <w:tc>
          <w:tcPr>
            <w:tcW w:w="1725" w:type="dxa"/>
            <w:noWrap w:val="0"/>
            <w:vAlign w:val="bottom"/>
          </w:tcPr>
          <w:p w14:paraId="3D8ECF96">
            <w:pPr>
              <w:jc w:val="center"/>
              <w:rPr>
                <w:rFonts w:hint="eastAsia" w:ascii="宋体" w:hAnsi="宋体" w:cs="宋体"/>
                <w:color w:val="auto"/>
                <w:sz w:val="28"/>
                <w:szCs w:val="28"/>
                <w:highlight w:val="none"/>
              </w:rPr>
            </w:pPr>
          </w:p>
        </w:tc>
        <w:tc>
          <w:tcPr>
            <w:tcW w:w="1984" w:type="dxa"/>
            <w:noWrap w:val="0"/>
            <w:vAlign w:val="bottom"/>
          </w:tcPr>
          <w:p w14:paraId="71D2128F">
            <w:pPr>
              <w:jc w:val="center"/>
              <w:rPr>
                <w:rFonts w:hint="eastAsia" w:ascii="宋体" w:hAnsi="宋体" w:cs="宋体"/>
                <w:color w:val="auto"/>
                <w:sz w:val="28"/>
                <w:szCs w:val="28"/>
                <w:highlight w:val="none"/>
              </w:rPr>
            </w:pPr>
          </w:p>
        </w:tc>
        <w:tc>
          <w:tcPr>
            <w:tcW w:w="1970" w:type="dxa"/>
            <w:noWrap w:val="0"/>
            <w:vAlign w:val="bottom"/>
          </w:tcPr>
          <w:p w14:paraId="026714EA">
            <w:pPr>
              <w:jc w:val="center"/>
              <w:rPr>
                <w:rFonts w:hint="eastAsia" w:ascii="宋体" w:hAnsi="宋体" w:cs="宋体"/>
                <w:color w:val="auto"/>
                <w:sz w:val="28"/>
                <w:szCs w:val="28"/>
                <w:highlight w:val="none"/>
              </w:rPr>
            </w:pPr>
          </w:p>
        </w:tc>
      </w:tr>
      <w:tr w14:paraId="2B404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3073" w:type="dxa"/>
            <w:noWrap w:val="0"/>
            <w:vAlign w:val="center"/>
          </w:tcPr>
          <w:p w14:paraId="5901DE97">
            <w:pPr>
              <w:adjustRightInd w:val="0"/>
              <w:snapToGrid w:val="0"/>
              <w:spacing w:line="288" w:lineRule="auto"/>
              <w:jc w:val="center"/>
              <w:textAlignment w:val="baseline"/>
              <w:rPr>
                <w:rFonts w:hint="eastAsia" w:ascii="宋体" w:hAnsi="宋体" w:cs="宋体"/>
                <w:color w:val="auto"/>
                <w:sz w:val="28"/>
                <w:szCs w:val="28"/>
                <w:highlight w:val="none"/>
              </w:rPr>
            </w:pPr>
            <w:r>
              <w:rPr>
                <w:rFonts w:hint="eastAsia" w:ascii="宋体" w:hAnsi="宋体" w:cs="宋体"/>
                <w:color w:val="auto"/>
                <w:sz w:val="28"/>
                <w:szCs w:val="28"/>
                <w:highlight w:val="none"/>
              </w:rPr>
              <w:t>合计</w:t>
            </w:r>
          </w:p>
        </w:tc>
        <w:tc>
          <w:tcPr>
            <w:tcW w:w="839" w:type="dxa"/>
            <w:noWrap w:val="0"/>
            <w:vAlign w:val="center"/>
          </w:tcPr>
          <w:p w14:paraId="20C69516">
            <w:pPr>
              <w:adjustRightInd w:val="0"/>
              <w:snapToGrid w:val="0"/>
              <w:spacing w:line="288" w:lineRule="auto"/>
              <w:jc w:val="center"/>
              <w:textAlignment w:val="baseline"/>
              <w:rPr>
                <w:rFonts w:hint="eastAsia" w:ascii="宋体" w:hAnsi="宋体" w:cs="宋体"/>
                <w:color w:val="auto"/>
                <w:sz w:val="28"/>
                <w:szCs w:val="28"/>
                <w:highlight w:val="none"/>
              </w:rPr>
            </w:pPr>
          </w:p>
        </w:tc>
        <w:tc>
          <w:tcPr>
            <w:tcW w:w="1725" w:type="dxa"/>
            <w:noWrap w:val="0"/>
            <w:vAlign w:val="center"/>
          </w:tcPr>
          <w:p w14:paraId="0A5608A6">
            <w:pPr>
              <w:jc w:val="center"/>
              <w:rPr>
                <w:rFonts w:hint="eastAsia" w:ascii="宋体" w:hAnsi="宋体" w:cs="宋体"/>
                <w:color w:val="auto"/>
                <w:sz w:val="28"/>
                <w:szCs w:val="28"/>
                <w:highlight w:val="none"/>
              </w:rPr>
            </w:pPr>
          </w:p>
        </w:tc>
        <w:tc>
          <w:tcPr>
            <w:tcW w:w="1984" w:type="dxa"/>
            <w:noWrap w:val="0"/>
            <w:vAlign w:val="center"/>
          </w:tcPr>
          <w:p w14:paraId="52150B6C">
            <w:pPr>
              <w:jc w:val="center"/>
              <w:rPr>
                <w:rFonts w:hint="eastAsia" w:ascii="宋体" w:hAnsi="宋体" w:cs="宋体"/>
                <w:color w:val="auto"/>
                <w:sz w:val="28"/>
                <w:szCs w:val="28"/>
                <w:highlight w:val="none"/>
              </w:rPr>
            </w:pPr>
          </w:p>
        </w:tc>
        <w:tc>
          <w:tcPr>
            <w:tcW w:w="1970" w:type="dxa"/>
            <w:noWrap w:val="0"/>
            <w:vAlign w:val="center"/>
          </w:tcPr>
          <w:p w14:paraId="0C974FBA">
            <w:pPr>
              <w:jc w:val="center"/>
              <w:rPr>
                <w:rFonts w:hint="eastAsia" w:ascii="宋体" w:hAnsi="宋体" w:cs="宋体"/>
                <w:color w:val="auto"/>
                <w:sz w:val="28"/>
                <w:szCs w:val="28"/>
                <w:highlight w:val="none"/>
              </w:rPr>
            </w:pPr>
          </w:p>
        </w:tc>
      </w:tr>
    </w:tbl>
    <w:p w14:paraId="2B4CF138">
      <w:pPr>
        <w:rPr>
          <w:rFonts w:hint="eastAsia" w:ascii="宋体" w:hAnsi="宋体" w:cs="宋体"/>
          <w:color w:val="auto"/>
          <w:sz w:val="28"/>
          <w:szCs w:val="28"/>
          <w:highlight w:val="none"/>
        </w:rPr>
      </w:pPr>
    </w:p>
    <w:p w14:paraId="3A7FF5FC">
      <w:pPr>
        <w:numPr>
          <w:ilvl w:val="0"/>
          <w:numId w:val="9"/>
        </w:numPr>
        <w:adjustRightInd w:val="0"/>
        <w:snapToGrid w:val="0"/>
        <w:spacing w:line="360" w:lineRule="auto"/>
        <w:ind w:left="0" w:firstLine="560" w:firstLineChars="200"/>
        <w:textAlignment w:val="baseline"/>
        <w:rPr>
          <w:rFonts w:hint="eastAsia" w:ascii="宋体" w:hAnsi="宋体" w:cs="宋体"/>
          <w:color w:val="auto"/>
          <w:sz w:val="28"/>
          <w:szCs w:val="28"/>
          <w:highlight w:val="none"/>
        </w:rPr>
      </w:pPr>
      <w:r>
        <w:rPr>
          <w:rFonts w:hint="eastAsia" w:ascii="宋体" w:hAnsi="宋体" w:cs="宋体"/>
          <w:color w:val="auto"/>
          <w:sz w:val="28"/>
          <w:szCs w:val="28"/>
          <w:highlight w:val="none"/>
        </w:rPr>
        <w:t>租金支付方式：</w:t>
      </w:r>
    </w:p>
    <w:p w14:paraId="22FCC5BE">
      <w:pPr>
        <w:adjustRightInd w:val="0"/>
        <w:snapToGrid w:val="0"/>
        <w:spacing w:line="360" w:lineRule="auto"/>
        <w:ind w:firstLine="560" w:firstLineChars="200"/>
        <w:textAlignment w:val="baseline"/>
        <w:rPr>
          <w:rFonts w:hint="eastAsia" w:ascii="宋体" w:hAnsi="宋体" w:cs="宋体"/>
          <w:color w:val="auto"/>
          <w:sz w:val="28"/>
          <w:szCs w:val="28"/>
          <w:highlight w:val="none"/>
        </w:rPr>
      </w:pPr>
      <w:r>
        <w:rPr>
          <w:rFonts w:hint="eastAsia" w:ascii="宋体" w:hAnsi="宋体" w:cs="宋体"/>
          <w:color w:val="auto"/>
          <w:sz w:val="28"/>
          <w:szCs w:val="28"/>
          <w:highlight w:val="none"/>
        </w:rPr>
        <w:t>租金采用先支付后使用的原则，每</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 xml:space="preserve">为一个支付周期。乙方应于起租前七日内向甲方支付下一期的租金，逾期未支付的，甲方可以根据实际情况每逾期一日，按拖欠租金数额的万分之五向乙方追究违约责任；逾期达60日或累计达3次（含）以上的，合同期满后甲方有权根据实际情况选择不再续约；逾期或不足额逾期达60天的，甲方有权根据实际情况单方终止合同，收回房屋。   </w:t>
      </w:r>
    </w:p>
    <w:p w14:paraId="47F8490F">
      <w:pPr>
        <w:numPr>
          <w:ilvl w:val="0"/>
          <w:numId w:val="9"/>
        </w:numPr>
        <w:adjustRightInd w:val="0"/>
        <w:snapToGrid w:val="0"/>
        <w:spacing w:line="360" w:lineRule="auto"/>
        <w:ind w:left="0" w:firstLine="560" w:firstLineChars="200"/>
        <w:textAlignment w:val="baseline"/>
        <w:rPr>
          <w:rFonts w:hint="eastAsia" w:ascii="宋体" w:hAnsi="宋体" w:cs="宋体"/>
          <w:color w:val="auto"/>
          <w:sz w:val="28"/>
          <w:szCs w:val="28"/>
          <w:highlight w:val="none"/>
        </w:rPr>
      </w:pPr>
      <w:r>
        <w:rPr>
          <w:rFonts w:hint="eastAsia" w:ascii="宋体" w:hAnsi="宋体" w:cs="宋体"/>
          <w:color w:val="auto"/>
          <w:sz w:val="28"/>
          <w:szCs w:val="28"/>
          <w:highlight w:val="none"/>
        </w:rPr>
        <w:t>甲方收款账户信息：</w:t>
      </w:r>
    </w:p>
    <w:p w14:paraId="4C15E6E3">
      <w:pPr>
        <w:adjustRightInd w:val="0"/>
        <w:snapToGrid w:val="0"/>
        <w:spacing w:line="360" w:lineRule="auto"/>
        <w:ind w:firstLine="560" w:firstLineChars="200"/>
        <w:textAlignment w:val="baseline"/>
        <w:rPr>
          <w:rFonts w:hint="eastAsia" w:ascii="宋体" w:hAnsi="宋体" w:eastAsia="宋体" w:cs="宋体"/>
          <w:color w:val="auto"/>
          <w:sz w:val="28"/>
          <w:szCs w:val="28"/>
          <w:highlight w:val="none"/>
          <w:lang w:eastAsia="zh-CN"/>
        </w:rPr>
      </w:pPr>
      <w:r>
        <w:rPr>
          <w:rFonts w:hint="eastAsia" w:ascii="宋体" w:hAnsi="宋体" w:cs="宋体"/>
          <w:color w:val="auto"/>
          <w:sz w:val="28"/>
          <w:szCs w:val="28"/>
          <w:highlight w:val="none"/>
        </w:rPr>
        <w:t>收款单位：</w:t>
      </w:r>
      <w:r>
        <w:rPr>
          <w:rFonts w:hint="eastAsia" w:ascii="宋体" w:hAnsi="宋体" w:cs="宋体"/>
          <w:color w:val="auto"/>
          <w:sz w:val="28"/>
          <w:szCs w:val="28"/>
          <w:highlight w:val="none"/>
          <w:lang w:eastAsia="zh-CN"/>
        </w:rPr>
        <w:t>南昌市红谷滩城市投资集团有限公司</w:t>
      </w:r>
    </w:p>
    <w:p w14:paraId="7F6978E4">
      <w:pPr>
        <w:adjustRightInd w:val="0"/>
        <w:snapToGrid w:val="0"/>
        <w:spacing w:line="360" w:lineRule="auto"/>
        <w:ind w:firstLine="560" w:firstLineChars="200"/>
        <w:textAlignment w:val="baseline"/>
        <w:rPr>
          <w:rFonts w:hint="eastAsia" w:ascii="宋体" w:hAnsi="宋体" w:cs="宋体"/>
          <w:color w:val="auto"/>
          <w:sz w:val="28"/>
          <w:szCs w:val="28"/>
          <w:highlight w:val="none"/>
        </w:rPr>
      </w:pPr>
      <w:r>
        <w:rPr>
          <w:rFonts w:hint="eastAsia" w:ascii="宋体" w:hAnsi="宋体" w:cs="宋体"/>
          <w:color w:val="auto"/>
          <w:sz w:val="28"/>
          <w:szCs w:val="28"/>
          <w:highlight w:val="none"/>
        </w:rPr>
        <w:t>收款账号：</w:t>
      </w:r>
    </w:p>
    <w:p w14:paraId="19C2AE2D">
      <w:pPr>
        <w:adjustRightInd w:val="0"/>
        <w:snapToGrid w:val="0"/>
        <w:spacing w:line="360" w:lineRule="auto"/>
        <w:ind w:firstLine="560" w:firstLineChars="200"/>
        <w:textAlignment w:val="baseline"/>
        <w:rPr>
          <w:rFonts w:hint="eastAsia" w:ascii="宋体" w:hAnsi="宋体" w:cs="宋体"/>
          <w:color w:val="auto"/>
          <w:sz w:val="28"/>
          <w:szCs w:val="28"/>
          <w:highlight w:val="none"/>
        </w:rPr>
      </w:pPr>
      <w:r>
        <w:rPr>
          <w:rFonts w:hint="eastAsia" w:ascii="宋体" w:hAnsi="宋体" w:cs="宋体"/>
          <w:color w:val="auto"/>
          <w:sz w:val="28"/>
          <w:szCs w:val="28"/>
          <w:highlight w:val="none"/>
        </w:rPr>
        <w:t>开户行：</w:t>
      </w:r>
    </w:p>
    <w:p w14:paraId="06A12DC5">
      <w:pPr>
        <w:adjustRightInd w:val="0"/>
        <w:snapToGrid w:val="0"/>
        <w:spacing w:line="360" w:lineRule="auto"/>
        <w:ind w:firstLine="560" w:firstLineChars="200"/>
        <w:textAlignment w:val="baseline"/>
        <w:rPr>
          <w:rFonts w:hint="eastAsia" w:ascii="宋体" w:hAnsi="宋体" w:cs="宋体"/>
          <w:b/>
          <w:bCs/>
          <w:color w:val="auto"/>
          <w:sz w:val="28"/>
          <w:szCs w:val="28"/>
          <w:highlight w:val="none"/>
        </w:rPr>
      </w:pPr>
      <w:r>
        <w:rPr>
          <w:rFonts w:hint="eastAsia" w:ascii="宋体" w:hAnsi="宋体" w:cs="宋体"/>
          <w:color w:val="auto"/>
          <w:sz w:val="28"/>
          <w:szCs w:val="28"/>
          <w:highlight w:val="none"/>
        </w:rPr>
        <w:t>4</w:t>
      </w:r>
      <w:r>
        <w:rPr>
          <w:rFonts w:hint="eastAsia" w:ascii="宋体" w:hAnsi="宋体" w:cs="宋体"/>
          <w:b/>
          <w:bCs/>
          <w:color w:val="auto"/>
          <w:sz w:val="28"/>
          <w:szCs w:val="28"/>
          <w:highlight w:val="none"/>
        </w:rPr>
        <w:t>、</w:t>
      </w:r>
      <w:r>
        <w:rPr>
          <w:rFonts w:hint="eastAsia" w:ascii="宋体" w:hAnsi="宋体" w:cs="宋体"/>
          <w:color w:val="auto"/>
          <w:sz w:val="28"/>
          <w:szCs w:val="28"/>
          <w:highlight w:val="none"/>
        </w:rPr>
        <w:t>甲方收取租金后应向乙方提供正规税务发票。</w:t>
      </w:r>
    </w:p>
    <w:p w14:paraId="44D0C0BF">
      <w:pPr>
        <w:adjustRightInd w:val="0"/>
        <w:snapToGrid w:val="0"/>
        <w:spacing w:line="360" w:lineRule="auto"/>
        <w:ind w:firstLine="562" w:firstLineChars="200"/>
        <w:textAlignment w:val="baseline"/>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五</w:t>
      </w:r>
      <w:r>
        <w:rPr>
          <w:rFonts w:hint="eastAsia" w:ascii="宋体" w:hAnsi="宋体" w:cs="宋体"/>
          <w:color w:val="auto"/>
          <w:sz w:val="28"/>
          <w:szCs w:val="28"/>
          <w:highlight w:val="none"/>
        </w:rPr>
        <w:t>、</w:t>
      </w:r>
      <w:r>
        <w:rPr>
          <w:rFonts w:hint="eastAsia" w:ascii="宋体" w:hAnsi="宋体" w:cs="宋体"/>
          <w:b/>
          <w:bCs/>
          <w:color w:val="auto"/>
          <w:sz w:val="28"/>
          <w:szCs w:val="28"/>
          <w:highlight w:val="none"/>
        </w:rPr>
        <w:t>保证金及其他费用</w:t>
      </w:r>
    </w:p>
    <w:p w14:paraId="31DFCA54">
      <w:pPr>
        <w:adjustRightInd w:val="0"/>
        <w:snapToGrid w:val="0"/>
        <w:spacing w:line="360" w:lineRule="auto"/>
        <w:ind w:firstLine="560" w:firstLineChars="200"/>
        <w:textAlignment w:val="baseline"/>
        <w:rPr>
          <w:rFonts w:hint="eastAsia" w:ascii="宋体" w:hAnsi="宋体" w:cs="宋体"/>
          <w:color w:val="auto"/>
          <w:sz w:val="28"/>
          <w:szCs w:val="28"/>
          <w:highlight w:val="none"/>
        </w:rPr>
      </w:pPr>
      <w:r>
        <w:rPr>
          <w:rFonts w:hint="eastAsia" w:ascii="宋体" w:hAnsi="宋体" w:cs="宋体"/>
          <w:color w:val="auto"/>
          <w:sz w:val="28"/>
          <w:szCs w:val="28"/>
          <w:highlight w:val="none"/>
        </w:rPr>
        <w:t>1、本合同自签订之日起</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u w:val="single"/>
          <w:lang w:val="en-US" w:eastAsia="zh-CN"/>
        </w:rPr>
        <w:t>5</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个工作日内，乙方同意向甲方支付房屋租赁保证金，即人民币（大写）</w:t>
      </w:r>
      <w:r>
        <w:rPr>
          <w:rFonts w:hint="eastAsia" w:ascii="宋体" w:hAnsi="宋体" w:cs="宋体"/>
          <w:color w:val="auto"/>
          <w:sz w:val="28"/>
          <w:szCs w:val="28"/>
          <w:highlight w:val="none"/>
          <w:u w:val="single"/>
        </w:rPr>
        <w:t xml:space="preserve">   （¥    元）</w:t>
      </w:r>
      <w:r>
        <w:rPr>
          <w:rFonts w:hint="eastAsia" w:ascii="宋体" w:hAnsi="宋体" w:cs="宋体"/>
          <w:color w:val="auto"/>
          <w:sz w:val="28"/>
          <w:szCs w:val="28"/>
          <w:highlight w:val="none"/>
        </w:rPr>
        <w:t>，租赁保证金仅为乙方保证支付租金及与租赁有关的费用的质押担保，甲方收取保证金后向乙方开具收款凭证。</w:t>
      </w:r>
    </w:p>
    <w:p w14:paraId="4FE3E8CF">
      <w:pPr>
        <w:spacing w:line="360" w:lineRule="auto"/>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2、乙方不得将该租赁保证金抵交租赁期间任何时间的租金及物业管理费、水电等其它费用。</w:t>
      </w:r>
    </w:p>
    <w:p w14:paraId="04A3413D">
      <w:pPr>
        <w:spacing w:line="360" w:lineRule="auto"/>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3、若存在乙方应承担的相关损失赔偿或费用，甲方有权在保证金中抵扣，保证金不足以抵扣的，乙方应予补足，并应在3日内按照合同约定的保证金标准向甲方补足保证金；租赁期满合同终止时，在乙方全额交清租金、物业管理费、水电费，并在搬离房屋及该房屋结构、内部设施无损坏、双方签署房屋交接确认书的前提下，甲方应在5个工作日内将该租赁保证金无息退还乙方。</w:t>
      </w:r>
    </w:p>
    <w:p w14:paraId="2286F1E2">
      <w:pPr>
        <w:spacing w:line="360" w:lineRule="auto"/>
        <w:ind w:firstLine="560" w:firstLineChars="200"/>
        <w:rPr>
          <w:rFonts w:hint="eastAsia" w:ascii="宋体" w:hAnsi="宋体" w:cs="宋体"/>
          <w:b/>
          <w:bCs/>
          <w:color w:val="auto"/>
          <w:sz w:val="28"/>
          <w:szCs w:val="28"/>
          <w:highlight w:val="none"/>
        </w:rPr>
      </w:pPr>
      <w:r>
        <w:rPr>
          <w:rFonts w:hint="eastAsia" w:ascii="宋体" w:hAnsi="宋体" w:cs="宋体"/>
          <w:color w:val="auto"/>
          <w:sz w:val="28"/>
          <w:szCs w:val="28"/>
          <w:highlight w:val="none"/>
        </w:rPr>
        <w:t>4、乙方未提前</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u w:val="single"/>
          <w:lang w:val="en-US" w:eastAsia="zh-CN"/>
        </w:rPr>
        <w:t>1</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个月前向甲方书面提出退租要求而申请提前解除合同的，甲方有权扣除合同签订时乙方缴纳的租赁保证金，具体以甲方书面通知为准。</w:t>
      </w:r>
    </w:p>
    <w:p w14:paraId="04CC944C">
      <w:pPr>
        <w:pStyle w:val="13"/>
        <w:spacing w:before="0" w:after="0" w:line="360" w:lineRule="auto"/>
        <w:ind w:firstLine="560" w:firstLineChars="200"/>
        <w:jc w:val="both"/>
        <w:rPr>
          <w:rFonts w:hint="eastAsia" w:ascii="宋体" w:hAnsi="宋体"/>
          <w:color w:val="auto"/>
          <w:sz w:val="28"/>
          <w:szCs w:val="28"/>
          <w:highlight w:val="none"/>
        </w:rPr>
      </w:pPr>
      <w:r>
        <w:rPr>
          <w:rFonts w:hint="eastAsia" w:ascii="宋体" w:hAnsi="宋体"/>
          <w:color w:val="auto"/>
          <w:sz w:val="28"/>
          <w:szCs w:val="28"/>
          <w:highlight w:val="none"/>
        </w:rPr>
        <w:t>5、乙方在租赁期间内所使用的包括物业管理、水、电、空调、通讯、停车费等，概由乙方承担。费用计算或分摊办法、支付方式和时间与</w:t>
      </w:r>
      <w:r>
        <w:rPr>
          <w:rFonts w:hint="eastAsia" w:ascii="宋体" w:hAnsi="宋体"/>
          <w:color w:val="auto"/>
          <w:sz w:val="28"/>
          <w:szCs w:val="28"/>
          <w:highlight w:val="none"/>
          <w:u w:val="single"/>
          <w:lang w:val="en-US" w:eastAsia="zh-CN"/>
        </w:rPr>
        <w:t xml:space="preserve">        </w:t>
      </w:r>
      <w:r>
        <w:rPr>
          <w:rFonts w:hint="eastAsia" w:ascii="宋体" w:hAnsi="宋体"/>
          <w:color w:val="auto"/>
          <w:sz w:val="28"/>
          <w:szCs w:val="28"/>
          <w:highlight w:val="none"/>
        </w:rPr>
        <w:t>对接，物业费的标准以</w:t>
      </w:r>
      <w:r>
        <w:rPr>
          <w:rFonts w:hint="eastAsia" w:ascii="宋体" w:hAnsi="宋体"/>
          <w:color w:val="auto"/>
          <w:sz w:val="28"/>
          <w:szCs w:val="28"/>
          <w:highlight w:val="none"/>
          <w:u w:val="single"/>
          <w:lang w:val="en-US" w:eastAsia="zh-CN"/>
        </w:rPr>
        <w:t xml:space="preserve">          </w:t>
      </w:r>
      <w:r>
        <w:rPr>
          <w:rFonts w:hint="eastAsia" w:ascii="宋体" w:hAnsi="宋体"/>
          <w:color w:val="auto"/>
          <w:sz w:val="28"/>
          <w:szCs w:val="28"/>
          <w:highlight w:val="none"/>
        </w:rPr>
        <w:t>发布的物业费收费标准为准。乙方拒绝与甲方指定的物业管理公司签订物业服务协议的，甲方有权要求提前终止本合同。</w:t>
      </w:r>
    </w:p>
    <w:p w14:paraId="0D7ADDC7">
      <w:pPr>
        <w:spacing w:line="360" w:lineRule="auto"/>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6、乙方在租赁期间内因经营活动，由政府征收各项管理规费（包括但不限于）：安保费、环保费、燃气初装费等所发生的全部费用，概由乙方承担，并由乙方自行向有关部门交纳。</w:t>
      </w:r>
    </w:p>
    <w:p w14:paraId="5728879D">
      <w:pPr>
        <w:spacing w:line="360" w:lineRule="auto"/>
        <w:ind w:firstLine="562" w:firstLineChars="20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六、交付条件</w:t>
      </w:r>
    </w:p>
    <w:p w14:paraId="11B77C51">
      <w:pPr>
        <w:spacing w:line="360" w:lineRule="auto"/>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1、乙方已实地察看租赁物业及内部设施、外观情况，认可其已经满足约定的交付条件。</w:t>
      </w:r>
    </w:p>
    <w:p w14:paraId="678AD9FC">
      <w:pPr>
        <w:spacing w:line="360" w:lineRule="auto"/>
        <w:ind w:firstLine="560" w:firstLineChars="200"/>
        <w:rPr>
          <w:rFonts w:hint="eastAsia" w:ascii="宋体" w:hAnsi="宋体" w:cs="宋体"/>
          <w:b/>
          <w:bCs/>
          <w:color w:val="auto"/>
          <w:sz w:val="28"/>
          <w:szCs w:val="28"/>
          <w:highlight w:val="none"/>
        </w:rPr>
      </w:pPr>
      <w:r>
        <w:rPr>
          <w:rFonts w:hint="eastAsia" w:ascii="宋体" w:hAnsi="宋体" w:cs="宋体"/>
          <w:color w:val="auto"/>
          <w:sz w:val="28"/>
          <w:szCs w:val="28"/>
          <w:highlight w:val="none"/>
        </w:rPr>
        <w:t>2、甲方在租赁物业交付、交接的同时，对其他附属物品进行交接，乙方接收租赁物业钥匙即视为双方交接完成。</w:t>
      </w:r>
    </w:p>
    <w:p w14:paraId="3276DE5F">
      <w:pPr>
        <w:spacing w:line="360" w:lineRule="auto"/>
        <w:ind w:firstLine="562" w:firstLineChars="200"/>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七、装修、开业的约定</w:t>
      </w:r>
    </w:p>
    <w:p w14:paraId="4F158F6E">
      <w:pPr>
        <w:spacing w:line="360" w:lineRule="auto"/>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1、租赁合同期限内，乙方装修改造方案必须取得甲方书面同意，必须符合</w:t>
      </w:r>
      <w:r>
        <w:rPr>
          <w:rFonts w:hint="eastAsia" w:ascii="宋体" w:hAnsi="宋体" w:cs="宋体"/>
          <w:color w:val="auto"/>
          <w:sz w:val="28"/>
          <w:szCs w:val="28"/>
          <w:highlight w:val="none"/>
          <w:lang w:val="en-US" w:eastAsia="zh-CN"/>
        </w:rPr>
        <w:t>赣江新天地14号楼</w:t>
      </w:r>
      <w:r>
        <w:rPr>
          <w:rFonts w:hint="eastAsia" w:ascii="宋体" w:hAnsi="宋体" w:cs="宋体"/>
          <w:color w:val="auto"/>
          <w:sz w:val="28"/>
          <w:szCs w:val="28"/>
          <w:highlight w:val="none"/>
          <w:lang w:eastAsia="zh-CN"/>
        </w:rPr>
        <w:t>招租项目</w:t>
      </w:r>
      <w:r>
        <w:rPr>
          <w:rFonts w:hint="eastAsia" w:ascii="宋体" w:hAnsi="宋体" w:cs="宋体"/>
          <w:color w:val="auto"/>
          <w:sz w:val="28"/>
          <w:szCs w:val="28"/>
          <w:highlight w:val="none"/>
        </w:rPr>
        <w:t>整体业态提升改造要求，并需在</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前开业。装修改造方案不符合甲方要求的，乙方不得启动装修，如乙方在未经甲方书面同意的情况下擅自启动装修，甲方有权解除合同，提前收回房屋，且乙方无权就装修费用向甲方主张权利。</w:t>
      </w:r>
    </w:p>
    <w:p w14:paraId="7E6E2FB2">
      <w:pPr>
        <w:spacing w:line="360" w:lineRule="auto"/>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2、乙方自行办理工商、卫生、消防等相关审批手续，并保证亮证、守法经营，否则所造成的一切后果均由乙方负责。</w:t>
      </w:r>
    </w:p>
    <w:p w14:paraId="639F4863">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cs="宋体"/>
          <w:color w:val="auto"/>
          <w:sz w:val="28"/>
          <w:szCs w:val="28"/>
          <w:highlight w:val="none"/>
        </w:rPr>
        <w:t>3、乙方装修过程中造成的甲方、乙方自身或第三方损失的，均由乙方自行承担，与甲方</w:t>
      </w:r>
      <w:r>
        <w:rPr>
          <w:rFonts w:hint="eastAsia" w:ascii="宋体" w:hAnsi="宋体" w:eastAsia="宋体" w:cs="宋体"/>
          <w:color w:val="auto"/>
          <w:sz w:val="28"/>
          <w:szCs w:val="28"/>
          <w:highlight w:val="none"/>
        </w:rPr>
        <w:t>无关。</w:t>
      </w:r>
    </w:p>
    <w:p w14:paraId="5DE950CE">
      <w:pPr>
        <w:spacing w:line="360" w:lineRule="auto"/>
        <w:ind w:firstLine="562" w:firstLineChars="200"/>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八、房屋使用要求和维修责任</w:t>
      </w:r>
    </w:p>
    <w:p w14:paraId="3B9FDDDE">
      <w:pPr>
        <w:spacing w:line="360" w:lineRule="auto"/>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1、租赁期间内乙方是房屋的实际管理人，乙方需时刻注意防火、防盗、防触电，不做危及自身人身安全的活动，房屋内发生的一切安全事故都由乙方承担，与甲方无关，包括但不限于高空抛物，水、火、电、煤气使用不当，在房屋内摔倒等造成的人身伤亡。</w:t>
      </w:r>
    </w:p>
    <w:p w14:paraId="0C7E4AA4">
      <w:pPr>
        <w:spacing w:line="360" w:lineRule="auto"/>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2、租赁期间乙方应合理使用并爱护该房屋及其附属设施。因乙方使用不当致使该房屋及其附属设施损坏或发生故障时，乙方应负责维修。乙方拒不维修的，甲方可代为维修，由此产生的全部费用由乙方承担。</w:t>
      </w:r>
    </w:p>
    <w:p w14:paraId="04CBA697">
      <w:pPr>
        <w:spacing w:line="360" w:lineRule="auto"/>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3、除合同订立时已有约定外，乙方另需对房屋进行装修或增设附属设施和设备的（可移动设施设备如空调、桌椅等除外），应事先征得甲方书面同意。按规定须向有关部门审批的，则还应报请有关部门批准后方可进行。乙方增设的附属设施和设备归属及其维修责任在租赁期内属乙方，租赁期满后乙方无权向甲方主张权利。</w:t>
      </w:r>
    </w:p>
    <w:p w14:paraId="4BE81E62">
      <w:pPr>
        <w:spacing w:line="360" w:lineRule="auto"/>
        <w:ind w:firstLine="560" w:firstLineChars="200"/>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4、乙方承诺其运营及改造方案经甲方同意后方启动装修，并保证在合同履行中全面符合参选文件承诺的运营方案及改造方案，同时符合招租文件约定的以下条件，否则甲方有权要求乙方整改，乙方拒不整改的，甲方有权单方面终止合同：</w:t>
      </w:r>
    </w:p>
    <w:p w14:paraId="26CC7AAE">
      <w:pPr>
        <w:spacing w:line="360" w:lineRule="auto"/>
        <w:ind w:firstLine="560" w:firstLineChars="200"/>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（1）业态定位</w:t>
      </w:r>
    </w:p>
    <w:p w14:paraId="7BC8499F">
      <w:pPr>
        <w:spacing w:line="360" w:lineRule="auto"/>
        <w:ind w:firstLine="560" w:firstLineChars="200"/>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打造“城市一刻钟便民生活圈”社区民生服务邻里中心，即农贸市场+生活配套民生相关经营业态。每个单体农贸市场传统核心业态占农贸市场面积不低于40%、新兴便民配套服务业态不超过60%。经营项目须符合国家安全、卫生、环保、市政等规定，不影响周围居民生活与安全，并自行办理营业执照。</w:t>
      </w:r>
    </w:p>
    <w:p w14:paraId="731E73E0">
      <w:pPr>
        <w:spacing w:line="360" w:lineRule="auto"/>
        <w:ind w:firstLine="560" w:firstLineChars="200"/>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（2）运营模式</w:t>
      </w:r>
    </w:p>
    <w:p w14:paraId="0FFC2A3E">
      <w:pPr>
        <w:spacing w:line="360" w:lineRule="auto"/>
        <w:ind w:firstLine="560" w:firstLineChars="200"/>
        <w:rPr>
          <w:rFonts w:hint="eastAsia" w:ascii="宋体" w:hAnsi="宋体" w:cs="宋体"/>
          <w:color w:val="auto"/>
          <w:sz w:val="28"/>
          <w:szCs w:val="28"/>
          <w:highlight w:val="none"/>
          <w:lang w:val="en-US" w:eastAsia="zh-CN"/>
        </w:rPr>
      </w:pPr>
    </w:p>
    <w:p w14:paraId="4710543D">
      <w:pPr>
        <w:spacing w:line="360" w:lineRule="auto"/>
        <w:ind w:firstLine="560" w:firstLineChars="200"/>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出租房屋由乙方整体运营、管理，不得整体转租或以合作名义整体转租。农贸市场生鲜、农产品、粮油副食等传统核心业态须由乙方自主招商运营。餐饮、休闲等新兴便民配套服务业态可由乙方对外分租并向甲方报备，次承租人须纳入乙方整体管理并由乙方承担管理责任，分租合同期限不得超过主合同租赁期限，业态不得超出约定范围，如需增加须经甲方书面同意。</w:t>
      </w:r>
    </w:p>
    <w:p w14:paraId="6C30DE34">
      <w:pPr>
        <w:spacing w:line="360" w:lineRule="auto"/>
        <w:ind w:firstLine="560" w:firstLineChars="200"/>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（3）改造要求</w:t>
      </w:r>
    </w:p>
    <w:p w14:paraId="532FA4CB">
      <w:pPr>
        <w:spacing w:line="360" w:lineRule="auto"/>
        <w:ind w:firstLine="560" w:firstLineChars="200"/>
        <w:rPr>
          <w:rFonts w:hint="eastAsia" w:ascii="宋体" w:hAnsi="宋体" w:eastAsia="宋体" w:cs="宋体"/>
          <w:color w:val="auto"/>
          <w:sz w:val="28"/>
          <w:szCs w:val="28"/>
          <w:highlight w:val="none"/>
          <w:lang w:val="en-US" w:eastAsia="zh-CN"/>
        </w:rPr>
      </w:pPr>
      <w:r>
        <w:rPr>
          <w:rFonts w:hint="eastAsia" w:ascii="宋体" w:hAnsi="宋体" w:cs="宋体"/>
          <w:color w:val="auto"/>
          <w:sz w:val="28"/>
          <w:szCs w:val="28"/>
          <w:highlight w:val="none"/>
          <w:lang w:val="en-US" w:eastAsia="zh-CN"/>
        </w:rPr>
        <w:t>农贸市场改造须统一规划、合理布局、规范管理，硬件提质改造：对房屋外立面统一风格、提升亮化，修缮内部给排水、照明、通风、消防等基础设施，优化动线与环境卫生，打造整洁规范的购物环境。智能化升级改造：达到参选文件改造方案中承诺的标准。改造费用由乙方承担，其他要求按《南昌市中心城区农贸市场管理条例》执行。租赁期限届满，改造设施设备的所有权无偿移交甲方。</w:t>
      </w:r>
    </w:p>
    <w:p w14:paraId="34457ECD">
      <w:pPr>
        <w:spacing w:line="360" w:lineRule="auto"/>
        <w:ind w:firstLine="562" w:firstLineChars="200"/>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九、房屋返还时的状态</w:t>
      </w:r>
    </w:p>
    <w:p w14:paraId="2B56AFE3">
      <w:pPr>
        <w:spacing w:line="360" w:lineRule="auto"/>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1、除甲方同意乙方续租外，乙方应在本合同租期届满后的 7日内搬离可移动物品并返还房屋。如乙方拒不搬离、借故拖延或无法联系，视为乙方放弃房屋内遗留的任何装饰装修、设施设备、物品等所有权及一切权利，甲方有权自行予以处置（包括作为遗弃物予以处理等等），因此而发生的费用支出均应当由乙方承担。</w:t>
      </w:r>
    </w:p>
    <w:p w14:paraId="081C6C79">
      <w:pPr>
        <w:spacing w:line="360" w:lineRule="auto"/>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2、在乙方向甲方返还该房屋时，应当维持房屋使用的安全质量及装修现状，原则上乙方应保留不可拆卸装修（不得故意毁坏装修现状后交付）。如返还房屋的安全质量存在隐患的，乙方应当负责修缮或赔偿。同时乙方应与甲方/物业管理公司签署房屋交接确认书。在该确认书签署之后，或虽未签署该确认书，但乙方已经实际撤离该房屋之后，乙方在该房屋内遗留的任何装饰装修、设施设备、物品等均视为乙方放弃了所有权及一切权利，甲方有权自行予以处置（包括作为遗弃物予以处理等等），因此而发生的费用支出均应当由乙方承担。</w:t>
      </w:r>
    </w:p>
    <w:p w14:paraId="389426D8">
      <w:pPr>
        <w:pStyle w:val="13"/>
        <w:spacing w:before="0" w:after="0" w:line="360" w:lineRule="auto"/>
        <w:ind w:firstLine="560" w:firstLineChars="200"/>
        <w:jc w:val="both"/>
        <w:rPr>
          <w:rFonts w:hint="eastAsia" w:ascii="宋体" w:hAnsi="宋体"/>
          <w:color w:val="auto"/>
          <w:kern w:val="2"/>
          <w:sz w:val="28"/>
          <w:szCs w:val="28"/>
          <w:highlight w:val="none"/>
        </w:rPr>
      </w:pPr>
      <w:r>
        <w:rPr>
          <w:rFonts w:hint="eastAsia" w:ascii="宋体" w:hAnsi="宋体"/>
          <w:color w:val="auto"/>
          <w:kern w:val="2"/>
          <w:sz w:val="28"/>
          <w:szCs w:val="28"/>
          <w:highlight w:val="none"/>
        </w:rPr>
        <w:t>3、如因乙方违约导致本合同终止，甲方有权收回出租房屋及其附属设施设备以及无偿接收乙方租赁期间的装修、其他附着物及不可拆设备，如乙方</w:t>
      </w:r>
      <w:r>
        <w:rPr>
          <w:rFonts w:hint="eastAsia" w:ascii="宋体" w:hAnsi="宋体"/>
          <w:color w:val="auto"/>
          <w:sz w:val="28"/>
          <w:szCs w:val="28"/>
          <w:highlight w:val="none"/>
        </w:rPr>
        <w:t>拒不搬离、借故拖延或无法联系，</w:t>
      </w:r>
      <w:r>
        <w:rPr>
          <w:rFonts w:hint="eastAsia" w:ascii="宋体" w:hAnsi="宋体"/>
          <w:color w:val="auto"/>
          <w:kern w:val="2"/>
          <w:sz w:val="28"/>
          <w:szCs w:val="28"/>
          <w:highlight w:val="none"/>
        </w:rPr>
        <w:t>甲方通过发函或张贴的方式进行通知后，有权自行予以处置房屋内任何装饰装修、设施设备、物品，因此产生的费用全部由乙方承担。</w:t>
      </w:r>
    </w:p>
    <w:p w14:paraId="3FC17CF2">
      <w:pPr>
        <w:pStyle w:val="13"/>
        <w:spacing w:before="0" w:after="0" w:line="360" w:lineRule="auto"/>
        <w:ind w:firstLine="560" w:firstLineChars="200"/>
        <w:jc w:val="both"/>
        <w:rPr>
          <w:rFonts w:hint="eastAsia" w:ascii="宋体" w:hAnsi="宋体"/>
          <w:color w:val="auto"/>
          <w:kern w:val="2"/>
          <w:sz w:val="28"/>
          <w:szCs w:val="28"/>
          <w:highlight w:val="none"/>
        </w:rPr>
      </w:pPr>
      <w:r>
        <w:rPr>
          <w:rFonts w:hint="eastAsia" w:ascii="宋体" w:hAnsi="宋体"/>
          <w:color w:val="auto"/>
          <w:kern w:val="2"/>
          <w:sz w:val="28"/>
          <w:szCs w:val="28"/>
          <w:highlight w:val="none"/>
        </w:rPr>
        <w:t>4、在未签署</w:t>
      </w:r>
      <w:r>
        <w:rPr>
          <w:rFonts w:hint="eastAsia" w:ascii="宋体" w:hAnsi="宋体"/>
          <w:color w:val="auto"/>
          <w:sz w:val="28"/>
          <w:szCs w:val="28"/>
          <w:highlight w:val="none"/>
        </w:rPr>
        <w:t>房屋交接</w:t>
      </w:r>
      <w:r>
        <w:rPr>
          <w:rFonts w:hint="eastAsia" w:ascii="宋体" w:hAnsi="宋体"/>
          <w:color w:val="auto"/>
          <w:kern w:val="2"/>
          <w:sz w:val="28"/>
          <w:szCs w:val="28"/>
          <w:highlight w:val="none"/>
        </w:rPr>
        <w:t>确认书之前乙方擅自撤离的，甲方对该房屋进行清理、整改或对有关设施设备进行维修、更换等使之符合返还要求的，因此而发生的费用支出均应当由乙方承担，并且在上述清理期间，乙方应当按照本合同约定的含税租金和物业管理费标准承担该房屋的租金、管理费。</w:t>
      </w:r>
    </w:p>
    <w:p w14:paraId="0C9966F6">
      <w:pPr>
        <w:spacing w:line="360" w:lineRule="auto"/>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5、乙方根据本合同返还房屋时，如果甲方因自身原因不在7天之内办理交接手续的，乙方可和相关物业管理机构办理相关费用结算手续，自行离开所租赁的房屋。由于甲方不办理交接手续而产生的一切后果，由甲方自行承担。</w:t>
      </w:r>
    </w:p>
    <w:p w14:paraId="4440A5F9">
      <w:pPr>
        <w:spacing w:line="360" w:lineRule="auto"/>
        <w:ind w:firstLine="560" w:firstLineChars="200"/>
        <w:rPr>
          <w:rFonts w:hint="eastAsia" w:ascii="宋体" w:hAnsi="宋体" w:cs="宋体"/>
          <w:b/>
          <w:bCs/>
          <w:color w:val="auto"/>
          <w:sz w:val="28"/>
          <w:szCs w:val="28"/>
          <w:highlight w:val="none"/>
        </w:rPr>
      </w:pPr>
      <w:r>
        <w:rPr>
          <w:rFonts w:hint="eastAsia" w:ascii="宋体" w:hAnsi="宋体" w:cs="宋体"/>
          <w:color w:val="auto"/>
          <w:sz w:val="28"/>
          <w:szCs w:val="28"/>
          <w:highlight w:val="none"/>
        </w:rPr>
        <w:t>6、房屋交接确认书签署之前，该房屋的安全责任仍由乙方承担。</w:t>
      </w:r>
    </w:p>
    <w:p w14:paraId="6BC7DCF8">
      <w:pPr>
        <w:spacing w:line="360" w:lineRule="auto"/>
        <w:ind w:firstLine="562" w:firstLineChars="200"/>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十、转租、转让、抵押</w:t>
      </w:r>
    </w:p>
    <w:p w14:paraId="470B8028">
      <w:pPr>
        <w:spacing w:line="360" w:lineRule="auto"/>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1、在租赁期内，未征得甲方书面同意，乙方无权私自将本合同项下房屋及附属设施设备转租。甲方发现乙方有转租行为，甲方有权单方解除合同，并按照本合同内容要求乙方履行相关义务和违约责任。</w:t>
      </w:r>
    </w:p>
    <w:p w14:paraId="40A8EC80">
      <w:pPr>
        <w:spacing w:line="360" w:lineRule="auto"/>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2、乙方不得擅自变更本合同第二条约定之经营用途。</w:t>
      </w:r>
    </w:p>
    <w:p w14:paraId="3D35742D">
      <w:pPr>
        <w:spacing w:line="360" w:lineRule="auto"/>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3、乙方在完成该出租房屋内经营的工商登记后，应向甲方提交该经营地址的《营业执照》及相关工商行政管理局开具的《工商信息登记表》，并且乙方须在租赁期内的每年七月份重新向甲方提交上述材料备案，如逾期一个月不提交的乙方需书面说明情况；如逾期三个月不提交的视为乙方违约，甲方有权单方解除合同。</w:t>
      </w:r>
    </w:p>
    <w:p w14:paraId="700F1DBB">
      <w:pPr>
        <w:pStyle w:val="13"/>
        <w:spacing w:before="0" w:after="0" w:line="360" w:lineRule="auto"/>
        <w:ind w:firstLine="560" w:firstLineChars="200"/>
        <w:jc w:val="both"/>
        <w:rPr>
          <w:rFonts w:hint="eastAsia" w:ascii="宋体" w:hAnsi="宋体"/>
          <w:color w:val="auto"/>
          <w:kern w:val="2"/>
          <w:sz w:val="28"/>
          <w:szCs w:val="28"/>
          <w:highlight w:val="none"/>
        </w:rPr>
      </w:pPr>
      <w:r>
        <w:rPr>
          <w:rFonts w:hint="eastAsia" w:ascii="宋体" w:hAnsi="宋体"/>
          <w:color w:val="auto"/>
          <w:kern w:val="2"/>
          <w:sz w:val="28"/>
          <w:szCs w:val="28"/>
          <w:highlight w:val="none"/>
        </w:rPr>
        <w:t>4、甲方有权无须征得乙方同意，随时将本合同项下的权利义务转让给任何第三方，但必须事先书面通知乙方，并保证受让方应无条件承担甲方在本合同项下的一切权利义务作为转让的前提条件，乙方在本合同享受的权利义务不变。</w:t>
      </w:r>
    </w:p>
    <w:p w14:paraId="7D59AE1B">
      <w:pPr>
        <w:spacing w:line="360" w:lineRule="auto"/>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5、在租赁期限内，如房屋产权人将租赁物业抵押给金融机构或其他债权人的，乙方同意按金融机构或其他债权人的要求出具相关承诺（此承诺以不损害乙方利益为前提），以便于产权人办理抵押登记手续。如乙方不同意出具相关承诺而导致不能办理抵押手续的，视为乙方违约，甲方有权提前终止本合同。</w:t>
      </w:r>
    </w:p>
    <w:p w14:paraId="29180956">
      <w:pPr>
        <w:spacing w:line="360" w:lineRule="auto"/>
        <w:ind w:firstLine="560" w:firstLineChars="200"/>
        <w:rPr>
          <w:rFonts w:hint="eastAsia" w:ascii="宋体" w:hAnsi="宋体" w:cs="宋体"/>
          <w:b/>
          <w:bCs/>
          <w:color w:val="auto"/>
          <w:sz w:val="28"/>
          <w:szCs w:val="28"/>
          <w:highlight w:val="none"/>
        </w:rPr>
      </w:pPr>
      <w:r>
        <w:rPr>
          <w:rFonts w:hint="eastAsia" w:ascii="宋体" w:hAnsi="宋体" w:cs="宋体"/>
          <w:color w:val="auto"/>
          <w:sz w:val="28"/>
          <w:szCs w:val="28"/>
          <w:highlight w:val="none"/>
        </w:rPr>
        <w:t>6、租赁期间，甲方初步发现乙方有非法转租的线索，甲方有权要求乙方提供相应的书面授权、书面文件、承租人银行流水等，用以配合乙方调查的工作，如乙方拒不提供上述相关材料，视为乙方存在违反诚实信用的原则的违约行为，甲方可以解除本合同。</w:t>
      </w:r>
    </w:p>
    <w:p w14:paraId="441E1093">
      <w:pPr>
        <w:spacing w:line="360" w:lineRule="auto"/>
        <w:ind w:firstLine="562" w:firstLineChars="200"/>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 xml:space="preserve">十一、解除本合同的条件 </w:t>
      </w:r>
    </w:p>
    <w:p w14:paraId="03E047F6">
      <w:pPr>
        <w:spacing w:line="360" w:lineRule="auto"/>
        <w:ind w:firstLine="560" w:firstLineChars="200"/>
        <w:rPr>
          <w:rFonts w:hint="eastAsia" w:ascii="宋体" w:hAnsi="宋体" w:cs="宋体"/>
          <w:b/>
          <w:bCs/>
          <w:color w:val="auto"/>
          <w:sz w:val="28"/>
          <w:szCs w:val="28"/>
          <w:highlight w:val="none"/>
        </w:rPr>
      </w:pPr>
      <w:r>
        <w:rPr>
          <w:rFonts w:hint="eastAsia" w:ascii="宋体" w:hAnsi="宋体" w:cs="宋体"/>
          <w:color w:val="auto"/>
          <w:sz w:val="28"/>
          <w:szCs w:val="28"/>
          <w:highlight w:val="none"/>
        </w:rPr>
        <w:t>1、经甲乙双方协商一致，可以解除本合同。</w:t>
      </w:r>
    </w:p>
    <w:p w14:paraId="6B2FC6B7">
      <w:pPr>
        <w:spacing w:line="360" w:lineRule="auto"/>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2、甲乙双方同意在租赁期内，有下列情形之一的，本合同终止，双方互不承担责任：</w:t>
      </w:r>
    </w:p>
    <w:p w14:paraId="11024B04">
      <w:pPr>
        <w:spacing w:line="360" w:lineRule="auto"/>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（1）该房屋占用范围内的土地使用权依法提前收回的；</w:t>
      </w:r>
    </w:p>
    <w:p w14:paraId="7F853B2B">
      <w:pPr>
        <w:spacing w:line="360" w:lineRule="auto"/>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（2）该房屋因社会公共利益被依法征用的；</w:t>
      </w:r>
    </w:p>
    <w:p w14:paraId="45845795">
      <w:pPr>
        <w:spacing w:line="360" w:lineRule="auto"/>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（3）该房屋因城市建设需要被依法列入房屋拆迁许可范围的；</w:t>
      </w:r>
    </w:p>
    <w:p w14:paraId="53A7E6F5">
      <w:pPr>
        <w:spacing w:line="360" w:lineRule="auto"/>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（4） 因不可抗力致使该房屋毁损、灭失或被鉴定为危险房屋的。</w:t>
      </w:r>
    </w:p>
    <w:p w14:paraId="22A68FD7">
      <w:pPr>
        <w:spacing w:line="360" w:lineRule="auto"/>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3、如因乙方原因</w:t>
      </w:r>
      <w:bookmarkStart w:id="54" w:name="_Hlk94086956"/>
      <w:r>
        <w:rPr>
          <w:rFonts w:hint="eastAsia" w:ascii="宋体" w:hAnsi="宋体" w:cs="宋体"/>
          <w:color w:val="auto"/>
          <w:sz w:val="28"/>
          <w:szCs w:val="28"/>
          <w:highlight w:val="none"/>
        </w:rPr>
        <w:t>解除合同的应</w:t>
      </w:r>
      <w:bookmarkEnd w:id="54"/>
      <w:r>
        <w:rPr>
          <w:rFonts w:hint="eastAsia" w:ascii="宋体" w:hAnsi="宋体" w:cs="宋体"/>
          <w:color w:val="auto"/>
          <w:sz w:val="28"/>
          <w:szCs w:val="28"/>
          <w:highlight w:val="none"/>
        </w:rPr>
        <w:t>提前三个月向甲方提出书面申请，甲方同意后，乙方可在交清实际租赁期间的租金及物业、水、电等费用后提前退出，但对乙方房屋装修费用，甲方不作任何补偿。如在免租期届满后一年内，乙方</w:t>
      </w:r>
      <w:bookmarkStart w:id="55" w:name="_Hlk94086930"/>
      <w:r>
        <w:rPr>
          <w:rFonts w:hint="eastAsia" w:ascii="宋体" w:hAnsi="宋体" w:cs="宋体"/>
          <w:color w:val="auto"/>
          <w:sz w:val="28"/>
          <w:szCs w:val="28"/>
          <w:highlight w:val="none"/>
        </w:rPr>
        <w:t>因任何原因</w:t>
      </w:r>
      <w:bookmarkEnd w:id="55"/>
      <w:r>
        <w:rPr>
          <w:rFonts w:hint="eastAsia" w:ascii="宋体" w:hAnsi="宋体" w:cs="宋体"/>
          <w:color w:val="auto"/>
          <w:sz w:val="28"/>
          <w:szCs w:val="28"/>
          <w:highlight w:val="none"/>
        </w:rPr>
        <w:t>提出解除合同的，应当按照第一期月租金的标准向甲方返还免租期内的房租。</w:t>
      </w:r>
    </w:p>
    <w:p w14:paraId="447C094C">
      <w:pPr>
        <w:spacing w:line="61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4、甲乙双方同意有下列情形之一的，一方可书面通知另一方解除本合同：</w:t>
      </w:r>
    </w:p>
    <w:p w14:paraId="3B50014F">
      <w:pPr>
        <w:spacing w:line="61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（1）甲方拒绝交付该房屋，经乙方催告后7个工作日内仍未交付的；</w:t>
      </w:r>
    </w:p>
    <w:p w14:paraId="26721CEB">
      <w:pPr>
        <w:spacing w:line="61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（2）乙方未按第七条约定时间开业的；</w:t>
      </w:r>
    </w:p>
    <w:p w14:paraId="0F80FEAB">
      <w:pPr>
        <w:spacing w:line="61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（3）乙方逾期或未足额支付保证金达7个工作日的；</w:t>
      </w:r>
    </w:p>
    <w:p w14:paraId="0285B995">
      <w:pPr>
        <w:spacing w:line="61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（4）乙方逾期或不足额支付租金达60日的；</w:t>
      </w:r>
    </w:p>
    <w:p w14:paraId="41B77003">
      <w:pPr>
        <w:spacing w:line="610" w:lineRule="exact"/>
        <w:ind w:firstLine="560" w:firstLineChars="200"/>
        <w:rPr>
          <w:rFonts w:hint="eastAsia" w:ascii="宋体" w:hAnsi="宋体" w:cs="宋体"/>
          <w:color w:val="auto"/>
          <w:sz w:val="28"/>
          <w:szCs w:val="28"/>
          <w:highlight w:val="none"/>
        </w:rPr>
      </w:pPr>
      <w:bookmarkStart w:id="56" w:name="_Hlk94086686"/>
      <w:r>
        <w:rPr>
          <w:rFonts w:hint="eastAsia" w:ascii="宋体" w:hAnsi="宋体" w:cs="宋体"/>
          <w:color w:val="auto"/>
          <w:sz w:val="28"/>
          <w:szCs w:val="28"/>
          <w:highlight w:val="none"/>
        </w:rPr>
        <w:t>（5）累计拖欠租金达三次（含）以上的；</w:t>
      </w:r>
    </w:p>
    <w:bookmarkEnd w:id="56"/>
    <w:p w14:paraId="1B4AA766">
      <w:pPr>
        <w:spacing w:line="61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（6）乙方违反本合同第</w:t>
      </w:r>
      <w:r>
        <w:rPr>
          <w:rFonts w:hint="eastAsia" w:ascii="宋体" w:hAnsi="宋体" w:cs="宋体"/>
          <w:color w:val="auto"/>
          <w:sz w:val="28"/>
          <w:szCs w:val="28"/>
          <w:highlight w:val="none"/>
          <w:lang w:eastAsia="zh-CN"/>
        </w:rPr>
        <w:t>二</w:t>
      </w:r>
      <w:r>
        <w:rPr>
          <w:rFonts w:hint="eastAsia" w:ascii="宋体" w:hAnsi="宋体" w:cs="宋体"/>
          <w:color w:val="auto"/>
          <w:sz w:val="28"/>
          <w:szCs w:val="28"/>
          <w:highlight w:val="none"/>
        </w:rPr>
        <w:t>条第</w:t>
      </w:r>
      <w:r>
        <w:rPr>
          <w:rFonts w:hint="eastAsia" w:ascii="宋体" w:hAnsi="宋体" w:cs="宋体"/>
          <w:color w:val="auto"/>
          <w:sz w:val="28"/>
          <w:szCs w:val="28"/>
          <w:highlight w:val="none"/>
          <w:lang w:eastAsia="zh-CN"/>
        </w:rPr>
        <w:t>一</w:t>
      </w:r>
      <w:r>
        <w:rPr>
          <w:rFonts w:hint="eastAsia" w:ascii="宋体" w:hAnsi="宋体" w:cs="宋体"/>
          <w:color w:val="auto"/>
          <w:sz w:val="28"/>
          <w:szCs w:val="28"/>
          <w:highlight w:val="none"/>
        </w:rPr>
        <w:t>款约定，擅自改变经营用途或将房屋拆分为多种经营用途的；</w:t>
      </w:r>
    </w:p>
    <w:p w14:paraId="05E014EC">
      <w:pPr>
        <w:spacing w:line="61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（7）乙方未按合同约定签订物业合同的；</w:t>
      </w:r>
    </w:p>
    <w:p w14:paraId="2BFA1759">
      <w:pPr>
        <w:spacing w:line="61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（8）在租赁期间，乙方无故歇业超过三个月的；</w:t>
      </w:r>
    </w:p>
    <w:p w14:paraId="6E1F5E83">
      <w:pPr>
        <w:spacing w:line="61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（9） 乙方未征得甲方书面同意改变房屋用途，致使房屋损坏的；</w:t>
      </w:r>
    </w:p>
    <w:p w14:paraId="0AFD943A">
      <w:pPr>
        <w:spacing w:line="61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（10）因乙方原因造成房屋主体结构损坏的；</w:t>
      </w:r>
    </w:p>
    <w:p w14:paraId="3B96B2F6">
      <w:pPr>
        <w:pStyle w:val="13"/>
        <w:spacing w:before="0" w:after="0" w:line="610" w:lineRule="exact"/>
        <w:ind w:firstLine="560" w:firstLineChars="200"/>
        <w:jc w:val="both"/>
        <w:rPr>
          <w:rFonts w:hint="eastAsia" w:ascii="宋体" w:hAnsi="宋体"/>
          <w:color w:val="auto"/>
          <w:kern w:val="2"/>
          <w:sz w:val="28"/>
          <w:szCs w:val="28"/>
          <w:highlight w:val="none"/>
        </w:rPr>
      </w:pPr>
      <w:r>
        <w:rPr>
          <w:rFonts w:hint="eastAsia" w:ascii="宋体" w:hAnsi="宋体"/>
          <w:color w:val="auto"/>
          <w:kern w:val="2"/>
          <w:sz w:val="28"/>
          <w:szCs w:val="28"/>
          <w:highlight w:val="none"/>
        </w:rPr>
        <w:t>（11）未经甲方书面同意，乙方擅自将租赁房屋转租的；</w:t>
      </w:r>
    </w:p>
    <w:p w14:paraId="1C785710">
      <w:pPr>
        <w:spacing w:line="61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（12）乙方逾期三个月未向甲方提供《营业执照》及《工商信息登记表》的；</w:t>
      </w:r>
    </w:p>
    <w:p w14:paraId="70A5BC15">
      <w:pPr>
        <w:spacing w:line="61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（13）乙方违反合同约定，经甲方书面通知后仍不整改的；</w:t>
      </w:r>
    </w:p>
    <w:p w14:paraId="285723F4">
      <w:pPr>
        <w:pStyle w:val="13"/>
        <w:spacing w:before="0" w:after="0" w:line="610" w:lineRule="exact"/>
        <w:ind w:firstLine="560" w:firstLineChars="200"/>
        <w:jc w:val="both"/>
        <w:rPr>
          <w:rFonts w:hint="eastAsia" w:ascii="宋体" w:hAnsi="宋体"/>
          <w:color w:val="auto"/>
          <w:sz w:val="28"/>
          <w:szCs w:val="28"/>
          <w:highlight w:val="none"/>
        </w:rPr>
      </w:pPr>
      <w:r>
        <w:rPr>
          <w:rFonts w:hint="eastAsia" w:ascii="宋体" w:hAnsi="宋体"/>
          <w:bCs/>
          <w:color w:val="auto"/>
          <w:sz w:val="28"/>
          <w:szCs w:val="28"/>
          <w:highlight w:val="none"/>
        </w:rPr>
        <w:t>（14）</w:t>
      </w:r>
      <w:r>
        <w:rPr>
          <w:rFonts w:hint="eastAsia" w:ascii="宋体" w:hAnsi="宋体"/>
          <w:color w:val="auto"/>
          <w:kern w:val="2"/>
          <w:sz w:val="28"/>
          <w:szCs w:val="28"/>
          <w:highlight w:val="none"/>
        </w:rPr>
        <w:t>租赁房屋因乙方原因被政府部门查封、整顿、关停的</w:t>
      </w:r>
      <w:r>
        <w:rPr>
          <w:rFonts w:hint="eastAsia" w:ascii="宋体" w:hAnsi="宋体"/>
          <w:color w:val="auto"/>
          <w:sz w:val="28"/>
          <w:szCs w:val="28"/>
          <w:highlight w:val="none"/>
        </w:rPr>
        <w:t>；</w:t>
      </w:r>
    </w:p>
    <w:p w14:paraId="55D09957">
      <w:pPr>
        <w:pStyle w:val="13"/>
        <w:spacing w:before="0" w:after="0" w:line="610" w:lineRule="exact"/>
        <w:ind w:firstLine="560" w:firstLineChars="200"/>
        <w:jc w:val="both"/>
        <w:rPr>
          <w:rFonts w:hint="eastAsia" w:ascii="宋体" w:hAnsi="宋体"/>
          <w:color w:val="auto"/>
          <w:kern w:val="2"/>
          <w:sz w:val="28"/>
          <w:szCs w:val="28"/>
          <w:highlight w:val="none"/>
        </w:rPr>
      </w:pPr>
      <w:r>
        <w:rPr>
          <w:rFonts w:hint="eastAsia" w:ascii="宋体" w:hAnsi="宋体"/>
          <w:color w:val="auto"/>
          <w:kern w:val="2"/>
          <w:sz w:val="28"/>
          <w:szCs w:val="28"/>
          <w:highlight w:val="none"/>
        </w:rPr>
        <w:t>（15）其他</w:t>
      </w:r>
      <w:r>
        <w:rPr>
          <w:rFonts w:hint="eastAsia" w:ascii="宋体" w:hAnsi="宋体"/>
          <w:color w:val="auto"/>
          <w:sz w:val="28"/>
          <w:szCs w:val="28"/>
          <w:highlight w:val="none"/>
        </w:rPr>
        <w:t>违反诚实信用原则的违约行为。</w:t>
      </w:r>
    </w:p>
    <w:p w14:paraId="66B23886">
      <w:pPr>
        <w:spacing w:line="610" w:lineRule="exact"/>
        <w:ind w:firstLine="560" w:firstLineChars="200"/>
        <w:rPr>
          <w:rFonts w:hint="eastAsia" w:ascii="宋体" w:hAnsi="宋体" w:cs="宋体"/>
          <w:b/>
          <w:bCs/>
          <w:color w:val="auto"/>
          <w:sz w:val="28"/>
          <w:szCs w:val="28"/>
          <w:highlight w:val="none"/>
        </w:rPr>
      </w:pPr>
      <w:r>
        <w:rPr>
          <w:rFonts w:hint="eastAsia" w:ascii="宋体" w:hAnsi="宋体" w:cs="宋体"/>
          <w:bCs/>
          <w:color w:val="auto"/>
          <w:sz w:val="28"/>
          <w:szCs w:val="28"/>
          <w:highlight w:val="none"/>
        </w:rPr>
        <w:t>凡因乙方原因造成合同解除的，乙方无权就装修费用及租赁保证金向甲方主张权利。</w:t>
      </w:r>
    </w:p>
    <w:p w14:paraId="7DF3FAEC">
      <w:pPr>
        <w:spacing w:line="360" w:lineRule="auto"/>
        <w:ind w:firstLine="562" w:firstLineChars="200"/>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十二、特别约定</w:t>
      </w:r>
    </w:p>
    <w:p w14:paraId="21B236F3">
      <w:pPr>
        <w:spacing w:line="61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1、如乙方因经营需求必须改变经营业态及经营品牌时，应征甲方书面同意，否则视为违约，甲方有权解除合同并要求乙方承担违约责任。</w:t>
      </w:r>
    </w:p>
    <w:p w14:paraId="08530CE7">
      <w:pPr>
        <w:spacing w:line="61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2、如乙方在承租期内使用租赁房屋从事违反国家法律法规活动并经相关司法、行政部门予以认定的，甲方有权单方面解除合同，收回房屋、不予退还乙方保证金，无须给予装修补偿。</w:t>
      </w:r>
    </w:p>
    <w:p w14:paraId="6047875E">
      <w:pPr>
        <w:widowControl/>
        <w:spacing w:line="610" w:lineRule="exact"/>
        <w:ind w:firstLine="560" w:firstLineChars="200"/>
        <w:rPr>
          <w:rFonts w:hint="eastAsia" w:ascii="宋体" w:hAnsi="宋体" w:cs="宋体"/>
          <w:b/>
          <w:bCs/>
          <w:color w:val="auto"/>
          <w:sz w:val="28"/>
          <w:szCs w:val="28"/>
          <w:highlight w:val="none"/>
        </w:rPr>
      </w:pPr>
      <w:r>
        <w:rPr>
          <w:rFonts w:hint="eastAsia" w:ascii="宋体" w:hAnsi="宋体" w:cs="宋体"/>
          <w:color w:val="auto"/>
          <w:sz w:val="28"/>
          <w:szCs w:val="28"/>
          <w:highlight w:val="none"/>
        </w:rPr>
        <w:t>3、乙方签订租赁合同的同时需签订《房产租赁安全管理责任承诺书》作为房屋租赁合同的附件,与房屋租赁合同具备同等法律效力。</w:t>
      </w:r>
    </w:p>
    <w:p w14:paraId="579CEAEA">
      <w:pPr>
        <w:spacing w:line="360" w:lineRule="auto"/>
        <w:ind w:firstLine="562" w:firstLineChars="200"/>
        <w:rPr>
          <w:rFonts w:hint="eastAsia" w:ascii="宋体" w:hAnsi="宋体" w:cs="宋体"/>
          <w:color w:val="auto"/>
          <w:sz w:val="28"/>
          <w:szCs w:val="28"/>
          <w:highlight w:val="none"/>
        </w:rPr>
      </w:pPr>
      <w:r>
        <w:rPr>
          <w:rFonts w:hint="eastAsia" w:ascii="宋体" w:hAnsi="宋体" w:cs="宋体"/>
          <w:b/>
          <w:bCs/>
          <w:color w:val="auto"/>
          <w:sz w:val="28"/>
          <w:szCs w:val="28"/>
          <w:highlight w:val="none"/>
        </w:rPr>
        <w:t>十三、 通知和送达</w:t>
      </w:r>
    </w:p>
    <w:p w14:paraId="3578F8E6">
      <w:pPr>
        <w:spacing w:line="360" w:lineRule="auto"/>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1、本合同项下的通知、要求、通信、诉讼（仲裁）的法律文书等可交付或发送至本合同底部所约定的地址或联系方式。</w:t>
      </w:r>
    </w:p>
    <w:p w14:paraId="651E15E7">
      <w:pPr>
        <w:spacing w:line="360" w:lineRule="auto"/>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2、就本合同项下甲方给乙方的任何通知、要求、通信、诉讼（仲裁）的法律文书等，电传、电话、传真、电子邮件等一经发出即视为已送达；邮政信函于投寄之日起第三日即视为送达；如派人专程送达，则乙方签收日视为送达，拒收的，送达人可采取拍照、录像方式记录送达过程，并将文书留置，亦视为送达。</w:t>
      </w:r>
    </w:p>
    <w:p w14:paraId="5D0A106F">
      <w:pPr>
        <w:spacing w:line="360" w:lineRule="auto"/>
        <w:ind w:firstLine="560" w:firstLineChars="200"/>
        <w:rPr>
          <w:rFonts w:hint="eastAsia" w:ascii="宋体" w:hAnsi="宋体" w:cs="宋体"/>
          <w:b/>
          <w:bCs/>
          <w:color w:val="auto"/>
          <w:sz w:val="28"/>
          <w:szCs w:val="28"/>
          <w:highlight w:val="none"/>
        </w:rPr>
      </w:pPr>
      <w:r>
        <w:rPr>
          <w:rFonts w:hint="eastAsia" w:ascii="宋体" w:hAnsi="宋体" w:cs="宋体"/>
          <w:color w:val="auto"/>
          <w:sz w:val="28"/>
          <w:szCs w:val="28"/>
          <w:highlight w:val="none"/>
        </w:rPr>
        <w:t>3、司法机关或仲裁机构亦可按本条约定的地址、联系方式向乙方发送相关文书，乙方提供地址错误或无人签收或乙方拒收的，则文书退回之日视为送达之日。</w:t>
      </w:r>
    </w:p>
    <w:p w14:paraId="019F7BD2">
      <w:pPr>
        <w:spacing w:line="360" w:lineRule="auto"/>
        <w:ind w:firstLine="562" w:firstLineChars="200"/>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十四、违约责任</w:t>
      </w:r>
    </w:p>
    <w:p w14:paraId="759D3337">
      <w:pPr>
        <w:spacing w:line="360" w:lineRule="auto"/>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1、任何一方未履行本协议项下的义务均被视为违约，违约方除承担违约责任外，还应承担因违约给对方造成的损失，包括但不限于诉讼费、仲裁费、律师费、保全费等主张债权发生的费用。</w:t>
      </w:r>
    </w:p>
    <w:p w14:paraId="10D54FD6">
      <w:pPr>
        <w:spacing w:line="360" w:lineRule="auto"/>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2、如乙方在合同解除后或租赁期满后逾期将租赁房屋交还甲方的，每逾期一日，按照合同解除或租赁期满时租金的120%支付房屋占用费。</w:t>
      </w:r>
    </w:p>
    <w:p w14:paraId="7D9DEDCF">
      <w:pPr>
        <w:spacing w:line="360" w:lineRule="auto"/>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3、乙方违反本合同第十一条第4款的，甲方不仅有权单方解除本合同，还有权要求乙方按合同解除当年租金的50%支付违约金，且已收保证金和租金不予退还。</w:t>
      </w:r>
    </w:p>
    <w:p w14:paraId="25D7BEC9">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cs="宋体"/>
          <w:color w:val="auto"/>
          <w:sz w:val="28"/>
          <w:szCs w:val="28"/>
          <w:highlight w:val="none"/>
        </w:rPr>
        <w:t>4、在乙方无任何违约行为</w:t>
      </w:r>
      <w:bookmarkStart w:id="57" w:name="_Hlk94086863"/>
      <w:r>
        <w:rPr>
          <w:rFonts w:hint="eastAsia" w:ascii="宋体" w:hAnsi="宋体" w:cs="宋体"/>
          <w:color w:val="auto"/>
          <w:sz w:val="28"/>
          <w:szCs w:val="28"/>
          <w:highlight w:val="none"/>
        </w:rPr>
        <w:t>及没有不可抗力事件发生</w:t>
      </w:r>
      <w:bookmarkEnd w:id="57"/>
      <w:r>
        <w:rPr>
          <w:rFonts w:hint="eastAsia" w:ascii="宋体" w:hAnsi="宋体" w:cs="宋体"/>
          <w:color w:val="auto"/>
          <w:sz w:val="28"/>
          <w:szCs w:val="28"/>
          <w:highlight w:val="none"/>
        </w:rPr>
        <w:t>的情况下，甲方不得在租赁期内无故解除本合同，否</w:t>
      </w:r>
      <w:r>
        <w:rPr>
          <w:rFonts w:hint="eastAsia" w:ascii="宋体" w:hAnsi="宋体" w:eastAsia="宋体" w:cs="宋体"/>
          <w:color w:val="auto"/>
          <w:sz w:val="28"/>
          <w:szCs w:val="28"/>
          <w:highlight w:val="none"/>
        </w:rPr>
        <w:t>则应赔偿由此给乙方造成的损失。</w:t>
      </w:r>
    </w:p>
    <w:p w14:paraId="27EB0E93">
      <w:pPr>
        <w:spacing w:line="360" w:lineRule="auto"/>
        <w:ind w:firstLine="562" w:firstLineChars="200"/>
        <w:rPr>
          <w:rFonts w:hint="eastAsia" w:ascii="宋体" w:hAnsi="宋体" w:cs="宋体"/>
          <w:color w:val="auto"/>
          <w:sz w:val="28"/>
          <w:szCs w:val="28"/>
          <w:highlight w:val="none"/>
        </w:rPr>
      </w:pPr>
      <w:r>
        <w:rPr>
          <w:rFonts w:hint="eastAsia" w:ascii="宋体" w:hAnsi="宋体" w:cs="宋体"/>
          <w:b/>
          <w:bCs/>
          <w:color w:val="auto"/>
          <w:sz w:val="28"/>
          <w:szCs w:val="28"/>
          <w:highlight w:val="none"/>
        </w:rPr>
        <w:t>十五、其他约定</w:t>
      </w:r>
    </w:p>
    <w:p w14:paraId="3C6B1065">
      <w:pPr>
        <w:numPr>
          <w:ilvl w:val="0"/>
          <w:numId w:val="10"/>
        </w:numPr>
        <w:spacing w:line="360" w:lineRule="auto"/>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本合同未尽事宜，经甲乙双方协商一致，可另行订立补充条款。本合同补充条款为本合同不可分割的一部分，本合同及其补充条款具有同等效力。</w:t>
      </w:r>
    </w:p>
    <w:p w14:paraId="4480B5E3">
      <w:pPr>
        <w:spacing w:line="360" w:lineRule="auto"/>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2、合同到期后，双方无异议，乙方有续租意向的，应在本合同到期前三个月书面通知甲方，双方另行商定续租事宜。</w:t>
      </w:r>
    </w:p>
    <w:p w14:paraId="76C9E883">
      <w:pPr>
        <w:spacing w:line="360" w:lineRule="auto"/>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3、甲乙双方在签署本合同时，对各自的权利、义务、责任清楚明白，并愿按合同约定严格执行。如一方违反本合同，另一方有权按本合同约定索赔。</w:t>
      </w:r>
    </w:p>
    <w:p w14:paraId="569B00AA">
      <w:pPr>
        <w:spacing w:line="360" w:lineRule="auto"/>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4、甲乙双方在履行本合同过程中发生争议，应通过协商解决，协商解决不成的，可依法向房屋所在地法院提起诉讼。</w:t>
      </w:r>
    </w:p>
    <w:p w14:paraId="306FCD90">
      <w:pPr>
        <w:spacing w:line="360" w:lineRule="auto"/>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5、本合同一式七份。其中，甲方执五份，乙方执二份，经双方</w:t>
      </w:r>
      <w:bookmarkStart w:id="58" w:name="_Hlk94086833"/>
      <w:r>
        <w:rPr>
          <w:rFonts w:hint="eastAsia" w:ascii="宋体" w:hAnsi="宋体" w:cs="宋体"/>
          <w:color w:val="auto"/>
          <w:sz w:val="28"/>
          <w:szCs w:val="28"/>
          <w:highlight w:val="none"/>
        </w:rPr>
        <w:t>法定代表人或授权代表签字并盖公章</w:t>
      </w:r>
      <w:bookmarkEnd w:id="58"/>
      <w:r>
        <w:rPr>
          <w:rFonts w:hint="eastAsia" w:ascii="宋体" w:hAnsi="宋体" w:cs="宋体"/>
          <w:color w:val="auto"/>
          <w:sz w:val="28"/>
          <w:szCs w:val="28"/>
          <w:highlight w:val="none"/>
        </w:rPr>
        <w:t>后生效。</w:t>
      </w:r>
    </w:p>
    <w:p w14:paraId="6C7AC078">
      <w:pPr>
        <w:rPr>
          <w:rFonts w:hint="eastAsia" w:ascii="宋体" w:hAnsi="宋体" w:cs="宋体"/>
          <w:color w:val="auto"/>
          <w:sz w:val="28"/>
          <w:szCs w:val="28"/>
          <w:highlight w:val="none"/>
        </w:rPr>
      </w:pPr>
    </w:p>
    <w:p w14:paraId="0AD77F32">
      <w:pPr>
        <w:rPr>
          <w:rFonts w:hint="eastAsia" w:ascii="宋体" w:hAnsi="宋体" w:cs="宋体"/>
          <w:color w:val="auto"/>
          <w:sz w:val="28"/>
          <w:szCs w:val="28"/>
          <w:highlight w:val="none"/>
        </w:rPr>
      </w:pPr>
    </w:p>
    <w:p w14:paraId="5F9AD3D2">
      <w:pPr>
        <w:rPr>
          <w:rFonts w:hint="eastAsia" w:ascii="宋体" w:hAnsi="宋体" w:cs="宋体"/>
          <w:color w:val="auto"/>
          <w:sz w:val="28"/>
          <w:szCs w:val="28"/>
          <w:highlight w:val="none"/>
        </w:rPr>
      </w:pPr>
      <w:r>
        <w:rPr>
          <w:rFonts w:hint="eastAsia" w:ascii="宋体" w:hAnsi="宋体" w:cs="宋体"/>
          <w:color w:val="auto"/>
          <w:sz w:val="28"/>
          <w:szCs w:val="28"/>
          <w:highlight w:val="none"/>
        </w:rPr>
        <w:t>出租方（甲方）                  承租方（乙方）</w:t>
      </w:r>
    </w:p>
    <w:p w14:paraId="3C3373BE">
      <w:pPr>
        <w:rPr>
          <w:rFonts w:hint="eastAsia" w:ascii="宋体" w:hAnsi="宋体" w:cs="宋体"/>
          <w:color w:val="auto"/>
          <w:sz w:val="28"/>
          <w:szCs w:val="28"/>
          <w:highlight w:val="none"/>
        </w:rPr>
      </w:pPr>
    </w:p>
    <w:p w14:paraId="55E5A747">
      <w:pPr>
        <w:rPr>
          <w:rFonts w:hint="eastAsia" w:ascii="宋体" w:hAnsi="宋体" w:cs="宋体"/>
          <w:color w:val="auto"/>
          <w:sz w:val="28"/>
          <w:szCs w:val="28"/>
          <w:highlight w:val="none"/>
        </w:rPr>
      </w:pPr>
      <w:r>
        <w:rPr>
          <w:rFonts w:hint="eastAsia" w:ascii="宋体" w:hAnsi="宋体" w:cs="宋体"/>
          <w:color w:val="auto"/>
          <w:sz w:val="28"/>
          <w:szCs w:val="28"/>
          <w:highlight w:val="none"/>
        </w:rPr>
        <w:t>法定代表人/授权代表：</w:t>
      </w:r>
      <w:r>
        <w:rPr>
          <w:rFonts w:hint="eastAsia" w:ascii="宋体" w:hAnsi="宋体" w:cs="宋体"/>
          <w:color w:val="auto"/>
          <w:sz w:val="28"/>
          <w:szCs w:val="28"/>
          <w:highlight w:val="none"/>
        </w:rPr>
        <w:tab/>
      </w:r>
      <w:r>
        <w:rPr>
          <w:rFonts w:hint="eastAsia" w:ascii="宋体" w:hAnsi="宋体" w:cs="宋体"/>
          <w:color w:val="auto"/>
          <w:sz w:val="28"/>
          <w:szCs w:val="28"/>
          <w:highlight w:val="none"/>
        </w:rPr>
        <w:t xml:space="preserve">          法定代表人/授权代表：</w:t>
      </w:r>
    </w:p>
    <w:p w14:paraId="3B889ED3">
      <w:pPr>
        <w:rPr>
          <w:rFonts w:hint="eastAsia" w:ascii="宋体" w:hAnsi="宋体" w:cs="宋体"/>
          <w:color w:val="auto"/>
          <w:sz w:val="28"/>
          <w:szCs w:val="28"/>
          <w:highlight w:val="none"/>
        </w:rPr>
      </w:pPr>
    </w:p>
    <w:p w14:paraId="033AC73E">
      <w:pPr>
        <w:rPr>
          <w:rFonts w:hint="eastAsia" w:ascii="宋体" w:hAnsi="宋体" w:cs="宋体"/>
          <w:color w:val="auto"/>
          <w:sz w:val="28"/>
          <w:szCs w:val="28"/>
          <w:highlight w:val="none"/>
        </w:rPr>
      </w:pPr>
      <w:r>
        <w:rPr>
          <w:rFonts w:hint="eastAsia" w:ascii="宋体" w:hAnsi="宋体" w:cs="宋体"/>
          <w:color w:val="auto"/>
          <w:sz w:val="28"/>
          <w:szCs w:val="28"/>
          <w:highlight w:val="none"/>
        </w:rPr>
        <w:t>签约日期：                       签约日期：</w:t>
      </w:r>
    </w:p>
    <w:p w14:paraId="75EE84C5">
      <w:pPr>
        <w:ind w:left="4690" w:hanging="4690" w:hangingChars="1675"/>
        <w:rPr>
          <w:rFonts w:hint="eastAsia" w:ascii="宋体" w:hAnsi="宋体" w:cs="宋体"/>
          <w:color w:val="auto"/>
          <w:sz w:val="28"/>
          <w:szCs w:val="28"/>
          <w:highlight w:val="none"/>
        </w:rPr>
      </w:pPr>
      <w:r>
        <w:rPr>
          <w:rFonts w:hint="eastAsia" w:ascii="宋体" w:hAnsi="宋体" w:cs="宋体"/>
          <w:color w:val="auto"/>
          <w:sz w:val="28"/>
          <w:szCs w:val="28"/>
          <w:highlight w:val="none"/>
        </w:rPr>
        <w:t>送达地址：</w:t>
      </w:r>
      <w:r>
        <w:rPr>
          <w:rFonts w:hint="eastAsia" w:ascii="宋体" w:hAnsi="宋体" w:cs="宋体"/>
          <w:bCs/>
          <w:color w:val="auto"/>
          <w:sz w:val="28"/>
          <w:szCs w:val="28"/>
          <w:highlight w:val="none"/>
          <w:lang w:val="en-US" w:eastAsia="zh-CN"/>
        </w:rPr>
        <w:t xml:space="preserve"> </w:t>
      </w:r>
      <w:r>
        <w:rPr>
          <w:rFonts w:hint="eastAsia" w:ascii="宋体" w:hAnsi="宋体" w:cs="宋体"/>
          <w:color w:val="auto"/>
          <w:sz w:val="28"/>
          <w:szCs w:val="28"/>
          <w:highlight w:val="none"/>
        </w:rPr>
        <w:t xml:space="preserve">    </w:t>
      </w:r>
      <w:r>
        <w:rPr>
          <w:rFonts w:hint="eastAsia" w:ascii="宋体" w:hAnsi="宋体" w:cs="宋体"/>
          <w:color w:val="auto"/>
          <w:sz w:val="28"/>
          <w:szCs w:val="28"/>
          <w:highlight w:val="none"/>
          <w:lang w:val="en-US" w:eastAsia="zh-CN"/>
        </w:rPr>
        <w:t xml:space="preserve">                  </w:t>
      </w:r>
      <w:r>
        <w:rPr>
          <w:rFonts w:hint="eastAsia" w:ascii="宋体" w:hAnsi="宋体" w:cs="宋体"/>
          <w:color w:val="auto"/>
          <w:sz w:val="28"/>
          <w:szCs w:val="28"/>
          <w:highlight w:val="none"/>
        </w:rPr>
        <w:t>送达地址：</w:t>
      </w:r>
      <w:r>
        <w:rPr>
          <w:rFonts w:hint="eastAsia" w:ascii="宋体" w:hAnsi="宋体" w:cs="宋体"/>
          <w:color w:val="auto"/>
          <w:sz w:val="28"/>
          <w:szCs w:val="28"/>
          <w:highlight w:val="none"/>
          <w:lang w:val="en-US" w:eastAsia="zh-CN"/>
        </w:rPr>
        <w:t xml:space="preserve"> </w:t>
      </w:r>
      <w:r>
        <w:rPr>
          <w:rFonts w:hint="eastAsia" w:ascii="宋体" w:hAnsi="宋体" w:cs="宋体"/>
          <w:color w:val="auto"/>
          <w:sz w:val="28"/>
          <w:szCs w:val="28"/>
          <w:highlight w:val="none"/>
        </w:rPr>
        <w:t xml:space="preserve"> </w:t>
      </w:r>
    </w:p>
    <w:p w14:paraId="365F045C">
      <w:pPr>
        <w:spacing w:line="56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附乙方信息（营业执照副本复印件、法定代表人身份证复印件；）</w:t>
      </w:r>
    </w:p>
    <w:p w14:paraId="22A02E8A">
      <w:pPr>
        <w:spacing w:line="360" w:lineRule="auto"/>
        <w:rPr>
          <w:rFonts w:hint="eastAsia" w:ascii="宋体" w:hAnsi="宋体" w:cs="宋体"/>
          <w:bCs/>
          <w:color w:val="auto"/>
          <w:sz w:val="24"/>
          <w:highlight w:val="none"/>
        </w:rPr>
      </w:pPr>
    </w:p>
    <w:p w14:paraId="7EA64D5F">
      <w:pPr>
        <w:pStyle w:val="14"/>
        <w:ind w:firstLine="562" w:firstLineChars="200"/>
        <w:rPr>
          <w:rFonts w:hint="eastAsia"/>
          <w:b/>
          <w:color w:val="auto"/>
          <w:sz w:val="28"/>
          <w:highlight w:val="none"/>
        </w:rPr>
      </w:pPr>
      <w:r>
        <w:rPr>
          <w:rFonts w:hint="eastAsia"/>
          <w:b/>
          <w:color w:val="auto"/>
          <w:sz w:val="28"/>
          <w:highlight w:val="none"/>
        </w:rPr>
        <w:t>具体以实际签订合同为准。</w:t>
      </w:r>
    </w:p>
    <w:p w14:paraId="141EF662">
      <w:pPr>
        <w:pStyle w:val="21"/>
        <w:rPr>
          <w:rFonts w:hint="eastAsia" w:hAnsi="宋体" w:cs="宋体"/>
          <w:color w:val="auto"/>
          <w:sz w:val="24"/>
          <w:szCs w:val="24"/>
          <w:highlight w:val="none"/>
        </w:rPr>
      </w:pPr>
    </w:p>
    <w:p w14:paraId="60FAA721">
      <w:pPr>
        <w:pStyle w:val="21"/>
        <w:rPr>
          <w:rFonts w:hint="eastAsia" w:hAnsi="宋体" w:cs="宋体"/>
          <w:color w:val="auto"/>
          <w:sz w:val="24"/>
          <w:szCs w:val="24"/>
          <w:highlight w:val="none"/>
        </w:rPr>
      </w:pPr>
    </w:p>
    <w:p w14:paraId="43F3702E">
      <w:pPr>
        <w:jc w:val="center"/>
        <w:rPr>
          <w:rFonts w:hint="eastAsia" w:ascii="宋体" w:hAnsi="宋体" w:cs="宋体"/>
          <w:b/>
          <w:color w:val="auto"/>
          <w:sz w:val="24"/>
          <w:highlight w:val="none"/>
        </w:rPr>
      </w:pPr>
      <w:r>
        <w:rPr>
          <w:rFonts w:hint="eastAsia" w:ascii="宋体" w:hAnsi="宋体" w:cs="宋体"/>
          <w:b/>
          <w:color w:val="auto"/>
          <w:sz w:val="24"/>
          <w:highlight w:val="none"/>
        </w:rPr>
        <w:br w:type="page"/>
      </w:r>
    </w:p>
    <w:p w14:paraId="6EE1B726">
      <w:pPr>
        <w:pStyle w:val="2"/>
        <w:bidi w:val="0"/>
        <w:rPr>
          <w:rFonts w:hint="eastAsia"/>
          <w:color w:val="auto"/>
          <w:highlight w:val="none"/>
        </w:rPr>
      </w:pPr>
      <w:bookmarkStart w:id="59" w:name="_Toc24826"/>
      <w:bookmarkStart w:id="60" w:name="_Toc2017"/>
      <w:r>
        <w:rPr>
          <w:rFonts w:hint="eastAsia"/>
          <w:color w:val="auto"/>
          <w:highlight w:val="none"/>
          <w:lang w:val="en-US" w:eastAsia="zh-CN"/>
        </w:rPr>
        <w:t>第六章</w:t>
      </w:r>
      <w:r>
        <w:rPr>
          <w:rFonts w:hint="eastAsia"/>
          <w:color w:val="auto"/>
          <w:highlight w:val="none"/>
        </w:rPr>
        <w:t>、参选文件格式</w:t>
      </w:r>
      <w:bookmarkEnd w:id="59"/>
      <w:bookmarkEnd w:id="60"/>
    </w:p>
    <w:p w14:paraId="5EA9246A">
      <w:pPr>
        <w:bidi w:val="0"/>
        <w:rPr>
          <w:rFonts w:hint="eastAsia"/>
          <w:color w:val="auto"/>
          <w:highlight w:val="none"/>
        </w:rPr>
      </w:pPr>
    </w:p>
    <w:p w14:paraId="7F20E4D9">
      <w:pPr>
        <w:bidi w:val="0"/>
        <w:jc w:val="right"/>
        <w:rPr>
          <w:rFonts w:hint="eastAsia"/>
          <w:b/>
          <w:bCs/>
          <w:color w:val="auto"/>
          <w:sz w:val="28"/>
          <w:szCs w:val="36"/>
          <w:highlight w:val="none"/>
        </w:rPr>
      </w:pPr>
      <w:r>
        <w:rPr>
          <w:rFonts w:hint="eastAsia"/>
          <w:b/>
          <w:bCs/>
          <w:color w:val="auto"/>
          <w:sz w:val="28"/>
          <w:szCs w:val="36"/>
          <w:highlight w:val="none"/>
        </w:rPr>
        <w:t>正本/副本</w:t>
      </w:r>
    </w:p>
    <w:p w14:paraId="71E7AFF1">
      <w:pPr>
        <w:bidi w:val="0"/>
        <w:rPr>
          <w:rFonts w:hint="eastAsia"/>
          <w:color w:val="auto"/>
          <w:highlight w:val="none"/>
        </w:rPr>
      </w:pPr>
    </w:p>
    <w:p w14:paraId="774ACA94">
      <w:pPr>
        <w:bidi w:val="0"/>
        <w:jc w:val="center"/>
        <w:rPr>
          <w:rFonts w:hint="eastAsia"/>
          <w:b/>
          <w:bCs/>
          <w:color w:val="auto"/>
          <w:sz w:val="44"/>
          <w:szCs w:val="44"/>
          <w:highlight w:val="none"/>
        </w:rPr>
      </w:pPr>
      <w:r>
        <w:rPr>
          <w:rFonts w:hint="eastAsia"/>
          <w:b/>
          <w:bCs/>
          <w:color w:val="auto"/>
          <w:sz w:val="44"/>
          <w:szCs w:val="44"/>
          <w:highlight w:val="none"/>
        </w:rPr>
        <w:t>参 选 文 件</w:t>
      </w:r>
    </w:p>
    <w:p w14:paraId="0783CA94">
      <w:pPr>
        <w:bidi w:val="0"/>
        <w:rPr>
          <w:rFonts w:hint="eastAsia"/>
          <w:color w:val="auto"/>
          <w:highlight w:val="none"/>
        </w:rPr>
      </w:pPr>
    </w:p>
    <w:p w14:paraId="1D154172">
      <w:pPr>
        <w:bidi w:val="0"/>
        <w:rPr>
          <w:rFonts w:hint="eastAsia"/>
          <w:color w:val="auto"/>
          <w:highlight w:val="none"/>
        </w:rPr>
      </w:pPr>
    </w:p>
    <w:p w14:paraId="1C6A4F77">
      <w:pPr>
        <w:bidi w:val="0"/>
        <w:rPr>
          <w:rFonts w:hint="eastAsia"/>
          <w:color w:val="auto"/>
          <w:highlight w:val="none"/>
        </w:rPr>
      </w:pPr>
    </w:p>
    <w:p w14:paraId="3FD67103">
      <w:pPr>
        <w:ind w:left="2564" w:leftChars="456" w:hanging="1606" w:hangingChars="500"/>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项目名称：</w:t>
      </w:r>
      <w:r>
        <w:rPr>
          <w:rFonts w:hint="eastAsia" w:ascii="宋体" w:hAnsi="宋体" w:cs="宋体"/>
          <w:b/>
          <w:bCs/>
          <w:color w:val="auto"/>
          <w:sz w:val="32"/>
          <w:szCs w:val="32"/>
          <w:highlight w:val="none"/>
          <w:lang w:eastAsia="zh-CN"/>
        </w:rPr>
        <w:t>富源花园、新琚花园、安丰花园、站西花园农贸市场整体招租项目</w:t>
      </w:r>
      <w:r>
        <w:rPr>
          <w:rFonts w:hint="eastAsia" w:ascii="宋体" w:hAnsi="宋体" w:cs="宋体"/>
          <w:b/>
          <w:bCs/>
          <w:color w:val="auto"/>
          <w:sz w:val="32"/>
          <w:szCs w:val="32"/>
          <w:highlight w:val="none"/>
        </w:rPr>
        <w:t xml:space="preserve">   </w:t>
      </w:r>
    </w:p>
    <w:p w14:paraId="5CD50E3A">
      <w:pPr>
        <w:ind w:firstLine="964" w:firstLineChars="300"/>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 xml:space="preserve">                           </w:t>
      </w:r>
    </w:p>
    <w:p w14:paraId="7E251D85">
      <w:pPr>
        <w:ind w:firstLine="964" w:firstLineChars="300"/>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项目编号：</w:t>
      </w:r>
    </w:p>
    <w:p w14:paraId="15B958F0">
      <w:pPr>
        <w:ind w:firstLine="964" w:firstLineChars="300"/>
        <w:rPr>
          <w:rFonts w:hint="eastAsia" w:ascii="宋体" w:hAnsi="宋体" w:cs="宋体"/>
          <w:color w:val="auto"/>
          <w:sz w:val="32"/>
          <w:szCs w:val="32"/>
          <w:highlight w:val="none"/>
        </w:rPr>
      </w:pPr>
      <w:r>
        <w:rPr>
          <w:rFonts w:hint="eastAsia" w:ascii="宋体" w:hAnsi="宋体" w:cs="宋体"/>
          <w:b/>
          <w:bCs/>
          <w:color w:val="auto"/>
          <w:sz w:val="32"/>
          <w:szCs w:val="32"/>
          <w:highlight w:val="none"/>
        </w:rPr>
        <w:t xml:space="preserve">                                                        </w:t>
      </w:r>
    </w:p>
    <w:p w14:paraId="661E5B9F">
      <w:pPr>
        <w:ind w:firstLine="964" w:firstLineChars="300"/>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参选人：（章）</w:t>
      </w:r>
    </w:p>
    <w:p w14:paraId="698C639B">
      <w:pPr>
        <w:ind w:firstLine="964" w:firstLineChars="300"/>
        <w:rPr>
          <w:rFonts w:hint="eastAsia" w:ascii="宋体" w:hAnsi="宋体" w:cs="宋体"/>
          <w:b/>
          <w:bCs/>
          <w:color w:val="auto"/>
          <w:sz w:val="32"/>
          <w:szCs w:val="32"/>
          <w:highlight w:val="none"/>
        </w:rPr>
      </w:pPr>
    </w:p>
    <w:p w14:paraId="31605A2F">
      <w:pPr>
        <w:ind w:firstLine="964" w:firstLineChars="300"/>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法定代表人：（章）</w:t>
      </w:r>
    </w:p>
    <w:p w14:paraId="5FBF75B4">
      <w:pPr>
        <w:ind w:firstLine="964" w:firstLineChars="300"/>
        <w:rPr>
          <w:rFonts w:hint="eastAsia" w:ascii="宋体" w:hAnsi="宋体" w:cs="宋体"/>
          <w:b/>
          <w:bCs/>
          <w:color w:val="auto"/>
          <w:sz w:val="32"/>
          <w:szCs w:val="32"/>
          <w:highlight w:val="none"/>
        </w:rPr>
      </w:pPr>
    </w:p>
    <w:p w14:paraId="6193BCA5">
      <w:pPr>
        <w:ind w:firstLine="964" w:firstLineChars="300"/>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联系人：                电话：</w:t>
      </w:r>
    </w:p>
    <w:p w14:paraId="15002633">
      <w:pPr>
        <w:ind w:firstLine="964" w:firstLineChars="300"/>
        <w:rPr>
          <w:rFonts w:hint="eastAsia" w:ascii="宋体" w:hAnsi="宋体" w:cs="宋体"/>
          <w:b/>
          <w:bCs/>
          <w:color w:val="auto"/>
          <w:sz w:val="32"/>
          <w:szCs w:val="32"/>
          <w:highlight w:val="none"/>
        </w:rPr>
      </w:pPr>
    </w:p>
    <w:p w14:paraId="78E5FC0D">
      <w:pPr>
        <w:ind w:firstLine="964" w:firstLineChars="300"/>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参选日期：    年   月   日</w:t>
      </w:r>
    </w:p>
    <w:p w14:paraId="662A990D">
      <w:pPr>
        <w:bidi w:val="0"/>
        <w:rPr>
          <w:rFonts w:hint="eastAsia"/>
          <w:color w:val="auto"/>
          <w:highlight w:val="none"/>
        </w:rPr>
      </w:pPr>
    </w:p>
    <w:p w14:paraId="229D1D02">
      <w:pPr>
        <w:bidi w:val="0"/>
        <w:rPr>
          <w:rFonts w:hint="eastAsia"/>
          <w:color w:val="auto"/>
          <w:highlight w:val="none"/>
        </w:rPr>
      </w:pPr>
    </w:p>
    <w:p w14:paraId="5479C1D7">
      <w:pPr>
        <w:bidi w:val="0"/>
        <w:rPr>
          <w:rFonts w:hint="eastAsia"/>
          <w:color w:val="auto"/>
          <w:highlight w:val="none"/>
        </w:rPr>
      </w:pPr>
    </w:p>
    <w:p w14:paraId="3C8EAD1F">
      <w:pPr>
        <w:bidi w:val="0"/>
        <w:rPr>
          <w:rFonts w:hint="eastAsia"/>
          <w:color w:val="auto"/>
          <w:highlight w:val="none"/>
        </w:rPr>
      </w:pPr>
    </w:p>
    <w:p w14:paraId="3D3E8166">
      <w:pPr>
        <w:bidi w:val="0"/>
        <w:rPr>
          <w:rFonts w:hint="eastAsia"/>
          <w:color w:val="auto"/>
          <w:highlight w:val="none"/>
        </w:rPr>
      </w:pPr>
    </w:p>
    <w:p w14:paraId="705C7A63">
      <w:pPr>
        <w:bidi w:val="0"/>
        <w:rPr>
          <w:rFonts w:hint="eastAsia"/>
          <w:color w:val="auto"/>
          <w:highlight w:val="none"/>
        </w:rPr>
        <w:sectPr>
          <w:footerReference r:id="rId4" w:type="default"/>
          <w:pgSz w:w="11906" w:h="16838"/>
          <w:pgMar w:top="1701" w:right="850" w:bottom="1134" w:left="850" w:header="851" w:footer="754" w:gutter="0"/>
          <w:pgNumType w:start="1"/>
          <w:cols w:space="720" w:num="1"/>
          <w:docGrid w:type="lines" w:linePitch="318" w:charSpace="0"/>
        </w:sectPr>
      </w:pPr>
    </w:p>
    <w:p w14:paraId="10F4DA51">
      <w:pPr>
        <w:pStyle w:val="3"/>
        <w:bidi w:val="0"/>
        <w:rPr>
          <w:rFonts w:hint="eastAsia"/>
          <w:color w:val="auto"/>
          <w:highlight w:val="none"/>
        </w:rPr>
      </w:pPr>
      <w:bookmarkStart w:id="61" w:name="_Toc7343"/>
      <w:r>
        <w:rPr>
          <w:rFonts w:hint="eastAsia"/>
          <w:color w:val="auto"/>
          <w:highlight w:val="none"/>
        </w:rPr>
        <w:t>1、参选函</w:t>
      </w:r>
      <w:bookmarkEnd w:id="61"/>
    </w:p>
    <w:p w14:paraId="5DDA97F1">
      <w:pPr>
        <w:wordWrap w:val="0"/>
        <w:spacing w:line="360" w:lineRule="auto"/>
        <w:rPr>
          <w:rFonts w:hint="eastAsia"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 xml:space="preserve">  （比选人）    </w:t>
      </w:r>
    </w:p>
    <w:p w14:paraId="688DAAA8">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根据贵方为</w:t>
      </w:r>
      <w:r>
        <w:rPr>
          <w:rFonts w:hint="eastAsia" w:ascii="宋体" w:hAnsi="宋体" w:cs="宋体"/>
          <w:color w:val="auto"/>
          <w:sz w:val="24"/>
          <w:highlight w:val="none"/>
          <w:u w:val="single"/>
        </w:rPr>
        <w:t>(项目名称)、(项目编号)</w:t>
      </w:r>
      <w:r>
        <w:rPr>
          <w:rFonts w:hint="eastAsia" w:ascii="宋体" w:hAnsi="宋体" w:cs="宋体"/>
          <w:color w:val="auto"/>
          <w:sz w:val="24"/>
          <w:highlight w:val="none"/>
        </w:rPr>
        <w:t>比选招租的参选邀请，我方代表</w:t>
      </w:r>
      <w:r>
        <w:rPr>
          <w:rFonts w:hint="eastAsia" w:ascii="宋体" w:hAnsi="宋体" w:cs="宋体"/>
          <w:color w:val="auto"/>
          <w:sz w:val="24"/>
          <w:highlight w:val="none"/>
          <w:u w:val="single"/>
        </w:rPr>
        <w:t>（姓名、职务）</w:t>
      </w:r>
      <w:r>
        <w:rPr>
          <w:rFonts w:hint="eastAsia" w:ascii="宋体" w:hAnsi="宋体" w:cs="宋体"/>
          <w:color w:val="auto"/>
          <w:sz w:val="24"/>
          <w:highlight w:val="none"/>
        </w:rPr>
        <w:t>经正式授权并代表</w:t>
      </w:r>
      <w:r>
        <w:rPr>
          <w:rFonts w:hint="eastAsia" w:ascii="宋体" w:hAnsi="宋体" w:cs="宋体"/>
          <w:color w:val="auto"/>
          <w:sz w:val="24"/>
          <w:highlight w:val="none"/>
          <w:u w:val="single"/>
        </w:rPr>
        <w:t>（参选人名称、地址）</w:t>
      </w:r>
      <w:r>
        <w:rPr>
          <w:rFonts w:hint="eastAsia" w:ascii="宋体" w:hAnsi="宋体" w:cs="宋体"/>
          <w:color w:val="auto"/>
          <w:sz w:val="24"/>
          <w:highlight w:val="none"/>
        </w:rPr>
        <w:t>提交下述参选文件。在此，我方声明如下：</w:t>
      </w:r>
    </w:p>
    <w:p w14:paraId="3E97E19A">
      <w:pPr>
        <w:numPr>
          <w:ilvl w:val="0"/>
          <w:numId w:val="11"/>
        </w:num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比选一览表</w:t>
      </w:r>
    </w:p>
    <w:p w14:paraId="2B79A373">
      <w:pPr>
        <w:numPr>
          <w:ilvl w:val="0"/>
          <w:numId w:val="11"/>
        </w:num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比选一览明细表</w:t>
      </w:r>
    </w:p>
    <w:p w14:paraId="4D16537D">
      <w:pPr>
        <w:numPr>
          <w:ilvl w:val="0"/>
          <w:numId w:val="11"/>
        </w:num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服务需求响应/偏离表</w:t>
      </w:r>
    </w:p>
    <w:p w14:paraId="6ECDD87F">
      <w:pPr>
        <w:numPr>
          <w:ilvl w:val="0"/>
          <w:numId w:val="11"/>
        </w:num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商务条款响应/偏离表</w:t>
      </w:r>
    </w:p>
    <w:p w14:paraId="3B3B2A13">
      <w:pPr>
        <w:numPr>
          <w:ilvl w:val="0"/>
          <w:numId w:val="11"/>
        </w:num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按比选文件参选人须知和服务需求要求提供的有关文件</w:t>
      </w:r>
    </w:p>
    <w:p w14:paraId="50C9495E">
      <w:pPr>
        <w:numPr>
          <w:ilvl w:val="0"/>
          <w:numId w:val="11"/>
        </w:num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资格证明文件</w:t>
      </w:r>
    </w:p>
    <w:p w14:paraId="6C00BDCF">
      <w:pPr>
        <w:numPr>
          <w:ilvl w:val="0"/>
          <w:numId w:val="11"/>
        </w:num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提交的参选保证金，金额为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5B03864A">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据此函，签字代表宣布同意如下：</w:t>
      </w:r>
    </w:p>
    <w:p w14:paraId="0D5EF403">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1、所附参选价格表中规定的应提交和交付的参选价为</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val="en-US" w:eastAsia="zh-CN"/>
        </w:rPr>
        <w:t xml:space="preserve">     万元/年</w:t>
      </w:r>
      <w:r>
        <w:rPr>
          <w:rFonts w:hint="eastAsia" w:ascii="宋体" w:hAnsi="宋体" w:cs="宋体"/>
          <w:color w:val="auto"/>
          <w:sz w:val="24"/>
          <w:highlight w:val="none"/>
          <w:u w:val="single"/>
        </w:rPr>
        <w:t>）</w:t>
      </w:r>
      <w:r>
        <w:rPr>
          <w:rFonts w:hint="eastAsia" w:ascii="宋体" w:hAnsi="宋体" w:cs="宋体"/>
          <w:color w:val="auto"/>
          <w:sz w:val="24"/>
          <w:highlight w:val="none"/>
        </w:rPr>
        <w:t xml:space="preserve"> 。</w:t>
      </w:r>
    </w:p>
    <w:p w14:paraId="16964D9D">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2、参选人将按比选文件的规定履行合同责任和义务。</w:t>
      </w:r>
    </w:p>
    <w:p w14:paraId="74165FBE">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3、参选有效期为参选最终截止之日起</w:t>
      </w:r>
      <w:r>
        <w:rPr>
          <w:rFonts w:hint="eastAsia" w:ascii="宋体" w:hAnsi="宋体" w:cs="宋体"/>
          <w:color w:val="auto"/>
          <w:sz w:val="24"/>
          <w:highlight w:val="none"/>
          <w:u w:val="single"/>
        </w:rPr>
        <w:t>90</w:t>
      </w:r>
      <w:r>
        <w:rPr>
          <w:rFonts w:hint="eastAsia" w:ascii="宋体" w:hAnsi="宋体" w:cs="宋体"/>
          <w:color w:val="auto"/>
          <w:sz w:val="24"/>
          <w:highlight w:val="none"/>
        </w:rPr>
        <w:t>日历日。</w:t>
      </w:r>
    </w:p>
    <w:p w14:paraId="1EA30015">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4、如果在规定的比选时间后，参选人在参选有效期内撤回参选，其参选作无效处理且参选保证金被贵方没收。</w:t>
      </w:r>
    </w:p>
    <w:p w14:paraId="16FB9487">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5、参选人已详细地阅读了全部比选文件及其附件，包括第（编号、补遗书）（如果有的话）。我们已完全理解并同意放弃对这方面有不明及误解的权力。</w:t>
      </w:r>
    </w:p>
    <w:p w14:paraId="6ABBA69B">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6、参选人同意提供按照贵方可能要求的与其参选有关的一切数据或资料。</w:t>
      </w:r>
    </w:p>
    <w:p w14:paraId="3CD14F2F">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7、与本参选有关的一切正式往来信函请寄：</w:t>
      </w:r>
    </w:p>
    <w:p w14:paraId="6AAA7A16">
      <w:pPr>
        <w:pStyle w:val="21"/>
        <w:rPr>
          <w:rFonts w:hint="eastAsia" w:hAnsi="宋体" w:cs="宋体"/>
          <w:color w:val="auto"/>
          <w:highlight w:val="none"/>
        </w:rPr>
      </w:pPr>
    </w:p>
    <w:p w14:paraId="09FA84E9">
      <w:pPr>
        <w:jc w:val="right"/>
        <w:rPr>
          <w:rFonts w:hint="eastAsia" w:ascii="宋体" w:hAnsi="宋体" w:cs="宋体"/>
          <w:b/>
          <w:bCs/>
          <w:color w:val="auto"/>
          <w:sz w:val="24"/>
          <w:highlight w:val="none"/>
        </w:rPr>
      </w:pPr>
    </w:p>
    <w:p w14:paraId="56082167">
      <w:pPr>
        <w:jc w:val="right"/>
        <w:rPr>
          <w:rFonts w:hint="eastAsia" w:ascii="宋体" w:hAnsi="宋体" w:cs="宋体"/>
          <w:color w:val="auto"/>
          <w:sz w:val="24"/>
          <w:highlight w:val="none"/>
        </w:rPr>
      </w:pPr>
      <w:r>
        <w:rPr>
          <w:rFonts w:hint="eastAsia" w:ascii="宋体" w:hAnsi="宋体" w:cs="宋体"/>
          <w:color w:val="auto"/>
          <w:sz w:val="24"/>
          <w:highlight w:val="none"/>
        </w:rPr>
        <w:t>参选人名称：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（盖章）</w:t>
      </w:r>
    </w:p>
    <w:p w14:paraId="140A1819">
      <w:pPr>
        <w:rPr>
          <w:rFonts w:hint="eastAsia" w:ascii="宋体" w:hAnsi="宋体" w:cs="宋体"/>
          <w:color w:val="auto"/>
          <w:sz w:val="24"/>
          <w:highlight w:val="none"/>
        </w:rPr>
      </w:pPr>
      <w:r>
        <w:rPr>
          <w:rFonts w:hint="eastAsia" w:ascii="宋体" w:hAnsi="宋体" w:cs="宋体"/>
          <w:color w:val="auto"/>
          <w:sz w:val="24"/>
          <w:highlight w:val="none"/>
        </w:rPr>
        <w:t xml:space="preserve">               </w:t>
      </w:r>
    </w:p>
    <w:p w14:paraId="16DFA9C6">
      <w:pPr>
        <w:rPr>
          <w:rFonts w:hint="eastAsia" w:ascii="宋体" w:hAnsi="宋体" w:cs="宋体"/>
          <w:color w:val="auto"/>
          <w:sz w:val="24"/>
          <w:highlight w:val="none"/>
        </w:rPr>
      </w:pPr>
      <w:r>
        <w:rPr>
          <w:rFonts w:hint="eastAsia" w:ascii="宋体" w:hAnsi="宋体" w:cs="宋体"/>
          <w:color w:val="auto"/>
          <w:sz w:val="24"/>
          <w:highlight w:val="none"/>
        </w:rPr>
        <w:t xml:space="preserve">                                     法定代表人盖章（或授权委托人签字）：</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65598CE7">
      <w:pPr>
        <w:rPr>
          <w:rFonts w:hint="eastAsia" w:ascii="宋体" w:hAnsi="宋体" w:cs="宋体"/>
          <w:color w:val="auto"/>
          <w:sz w:val="24"/>
          <w:highlight w:val="none"/>
        </w:rPr>
      </w:pPr>
    </w:p>
    <w:p w14:paraId="252CA866">
      <w:pPr>
        <w:rPr>
          <w:rFonts w:hint="eastAsia" w:ascii="宋体" w:hAnsi="宋体" w:cs="宋体"/>
          <w:color w:val="auto"/>
          <w:sz w:val="24"/>
          <w:highlight w:val="none"/>
        </w:rPr>
      </w:pPr>
      <w:r>
        <w:rPr>
          <w:rFonts w:hint="eastAsia" w:ascii="宋体" w:hAnsi="宋体" w:cs="宋体"/>
          <w:color w:val="auto"/>
          <w:sz w:val="24"/>
          <w:highlight w:val="none"/>
        </w:rPr>
        <w:t xml:space="preserve">                                                                日   期：</w:t>
      </w:r>
      <w:r>
        <w:rPr>
          <w:rFonts w:hint="eastAsia" w:ascii="宋体" w:hAnsi="宋体" w:cs="宋体"/>
          <w:color w:val="auto"/>
          <w:sz w:val="24"/>
          <w:highlight w:val="none"/>
          <w:u w:val="single"/>
        </w:rPr>
        <w:t xml:space="preserve">             </w:t>
      </w:r>
    </w:p>
    <w:p w14:paraId="0B670C0A">
      <w:pPr>
        <w:jc w:val="center"/>
        <w:rPr>
          <w:rFonts w:hint="eastAsia" w:ascii="宋体" w:hAnsi="宋体" w:cs="宋体"/>
          <w:b/>
          <w:bCs/>
          <w:color w:val="auto"/>
          <w:sz w:val="30"/>
          <w:szCs w:val="30"/>
          <w:highlight w:val="none"/>
        </w:rPr>
      </w:pPr>
    </w:p>
    <w:p w14:paraId="57437601">
      <w:pPr>
        <w:pStyle w:val="3"/>
        <w:bidi w:val="0"/>
        <w:rPr>
          <w:rFonts w:hint="eastAsia"/>
          <w:color w:val="auto"/>
          <w:highlight w:val="none"/>
        </w:rPr>
      </w:pPr>
      <w:bookmarkStart w:id="62" w:name="_Toc30531"/>
      <w:r>
        <w:rPr>
          <w:rFonts w:hint="eastAsia"/>
          <w:color w:val="auto"/>
          <w:highlight w:val="none"/>
        </w:rPr>
        <w:t>2、参选承诺书</w:t>
      </w:r>
      <w:bookmarkEnd w:id="62"/>
    </w:p>
    <w:p w14:paraId="153B8B5D">
      <w:pPr>
        <w:wordWrap w:val="0"/>
        <w:spacing w:line="360" w:lineRule="auto"/>
        <w:rPr>
          <w:rFonts w:hint="eastAsia"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 xml:space="preserve">  （比选人）    </w:t>
      </w:r>
    </w:p>
    <w:p w14:paraId="5DB9DDEF">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为了充分体现公平竞争、诚信参选行为，我单位对参与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项目的参选作出如下承诺：</w:t>
      </w:r>
    </w:p>
    <w:p w14:paraId="195B07C0">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 、严格遵守国家相关法律、法规，所投入的管理、人员等均为我公司正式在职人员；</w:t>
      </w:r>
    </w:p>
    <w:p w14:paraId="3D82028D">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 、提供的业绩、经验等证明材料真实、合法、有效；</w:t>
      </w:r>
    </w:p>
    <w:p w14:paraId="10F17284">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3、不参与不正当竞争，不向参选人、比选代理机构、比选人、评审委员会等行贿以谋取不正当利益；</w:t>
      </w:r>
    </w:p>
    <w:p w14:paraId="3F0E3CA8">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4、严格按照比选文件、参选文件约定签订合同，不将中选项目违法分包、转包、转租；</w:t>
      </w:r>
    </w:p>
    <w:p w14:paraId="151F64F6">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5、主动接受业主等监督，如有违反，接受相应处罚，直至被追究法律责任。</w:t>
      </w:r>
    </w:p>
    <w:p w14:paraId="0A5C3CB7">
      <w:pPr>
        <w:spacing w:line="580" w:lineRule="exact"/>
        <w:rPr>
          <w:rFonts w:hint="eastAsia" w:ascii="宋体" w:hAnsi="宋体" w:cs="宋体"/>
          <w:color w:val="auto"/>
          <w:sz w:val="24"/>
          <w:highlight w:val="none"/>
        </w:rPr>
      </w:pPr>
    </w:p>
    <w:p w14:paraId="44FD481E">
      <w:pPr>
        <w:pStyle w:val="21"/>
        <w:rPr>
          <w:rFonts w:hint="eastAsia" w:hAnsi="宋体" w:cs="宋体"/>
          <w:color w:val="auto"/>
          <w:highlight w:val="none"/>
        </w:rPr>
      </w:pPr>
    </w:p>
    <w:p w14:paraId="5C42DFA6">
      <w:pPr>
        <w:pStyle w:val="21"/>
        <w:rPr>
          <w:rFonts w:hint="eastAsia" w:hAnsi="宋体" w:cs="宋体"/>
          <w:color w:val="auto"/>
          <w:highlight w:val="none"/>
        </w:rPr>
      </w:pPr>
    </w:p>
    <w:p w14:paraId="23503EED">
      <w:pPr>
        <w:pStyle w:val="21"/>
        <w:rPr>
          <w:rFonts w:hint="eastAsia" w:hAnsi="宋体" w:cs="宋体"/>
          <w:color w:val="auto"/>
          <w:highlight w:val="none"/>
        </w:rPr>
      </w:pPr>
    </w:p>
    <w:p w14:paraId="05D71F00">
      <w:pPr>
        <w:pStyle w:val="21"/>
        <w:rPr>
          <w:rFonts w:hint="eastAsia" w:hAnsi="宋体" w:cs="宋体"/>
          <w:color w:val="auto"/>
          <w:highlight w:val="none"/>
        </w:rPr>
      </w:pPr>
    </w:p>
    <w:p w14:paraId="2A4D6C11">
      <w:pPr>
        <w:spacing w:line="580" w:lineRule="exact"/>
        <w:rPr>
          <w:rFonts w:hint="eastAsia" w:ascii="宋体" w:hAnsi="宋体" w:cs="宋体"/>
          <w:color w:val="auto"/>
          <w:sz w:val="24"/>
          <w:highlight w:val="none"/>
        </w:rPr>
      </w:pPr>
      <w:r>
        <w:rPr>
          <w:rFonts w:hint="eastAsia" w:ascii="宋体" w:hAnsi="宋体" w:cs="宋体"/>
          <w:color w:val="auto"/>
          <w:sz w:val="24"/>
          <w:highlight w:val="none"/>
        </w:rPr>
        <w:t xml:space="preserve">承诺单位（盖章）：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720DD825">
      <w:pPr>
        <w:spacing w:line="580" w:lineRule="exact"/>
        <w:rPr>
          <w:rFonts w:hint="eastAsia" w:ascii="宋体" w:hAnsi="宋体" w:cs="宋体"/>
          <w:color w:val="auto"/>
          <w:sz w:val="24"/>
          <w:highlight w:val="none"/>
        </w:rPr>
      </w:pPr>
      <w:r>
        <w:rPr>
          <w:rFonts w:hint="eastAsia" w:ascii="宋体" w:hAnsi="宋体" w:cs="宋体"/>
          <w:color w:val="auto"/>
          <w:sz w:val="24"/>
          <w:highlight w:val="none"/>
        </w:rPr>
        <w:t>法定代表人（签字或盖章）：</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635258A8">
      <w:pPr>
        <w:spacing w:line="580" w:lineRule="exact"/>
        <w:rPr>
          <w:rFonts w:hint="eastAsia" w:ascii="宋体" w:hAnsi="宋体" w:cs="宋体"/>
          <w:color w:val="auto"/>
          <w:sz w:val="24"/>
          <w:highlight w:val="none"/>
        </w:rPr>
      </w:pPr>
      <w:r>
        <w:rPr>
          <w:rFonts w:hint="eastAsia" w:ascii="宋体" w:hAnsi="宋体" w:cs="宋体"/>
          <w:color w:val="auto"/>
          <w:sz w:val="24"/>
          <w:highlight w:val="none"/>
        </w:rPr>
        <w:t xml:space="preserve">联系电话（手机号码）：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6E1C436E">
      <w:pPr>
        <w:spacing w:line="580" w:lineRule="exact"/>
        <w:rPr>
          <w:rFonts w:hint="eastAsia" w:ascii="宋体" w:hAnsi="宋体" w:cs="宋体"/>
          <w:color w:val="auto"/>
          <w:sz w:val="24"/>
          <w:highlight w:val="none"/>
        </w:rPr>
      </w:pPr>
      <w:r>
        <w:rPr>
          <w:rFonts w:hint="eastAsia" w:ascii="宋体" w:hAnsi="宋体" w:cs="宋体"/>
          <w:color w:val="auto"/>
          <w:sz w:val="24"/>
          <w:highlight w:val="none"/>
        </w:rPr>
        <w:t>日期：   年   月   日</w:t>
      </w:r>
    </w:p>
    <w:p w14:paraId="55DF39B2">
      <w:pPr>
        <w:jc w:val="center"/>
        <w:rPr>
          <w:rFonts w:hint="eastAsia" w:ascii="宋体" w:hAnsi="宋体" w:cs="宋体"/>
          <w:color w:val="auto"/>
          <w:sz w:val="24"/>
          <w:highlight w:val="none"/>
        </w:rPr>
      </w:pPr>
      <w:r>
        <w:rPr>
          <w:rFonts w:hint="eastAsia" w:ascii="宋体" w:hAnsi="宋体" w:cs="宋体"/>
          <w:color w:val="auto"/>
          <w:sz w:val="24"/>
          <w:highlight w:val="none"/>
        </w:rPr>
        <w:t xml:space="preserve"> </w:t>
      </w:r>
    </w:p>
    <w:p w14:paraId="4E6F8DEB">
      <w:pPr>
        <w:spacing w:line="440" w:lineRule="exact"/>
        <w:ind w:firstLine="435"/>
        <w:rPr>
          <w:rFonts w:hint="eastAsia" w:ascii="宋体" w:hAnsi="宋体" w:cs="宋体"/>
          <w:color w:val="auto"/>
          <w:sz w:val="24"/>
          <w:highlight w:val="none"/>
        </w:rPr>
      </w:pPr>
    </w:p>
    <w:p w14:paraId="4016B6BA">
      <w:pPr>
        <w:spacing w:line="440" w:lineRule="exact"/>
        <w:ind w:firstLine="487" w:firstLineChars="202"/>
        <w:rPr>
          <w:rFonts w:hint="eastAsia" w:ascii="宋体" w:hAnsi="宋体" w:cs="宋体"/>
          <w:b/>
          <w:color w:val="auto"/>
          <w:sz w:val="24"/>
          <w:highlight w:val="none"/>
        </w:rPr>
        <w:sectPr>
          <w:pgSz w:w="11906" w:h="16838"/>
          <w:pgMar w:top="1701" w:right="850" w:bottom="1134" w:left="850" w:header="851" w:footer="754" w:gutter="0"/>
          <w:cols w:space="720" w:num="1"/>
          <w:docGrid w:type="lines" w:linePitch="318" w:charSpace="0"/>
        </w:sectPr>
      </w:pPr>
      <w:r>
        <w:rPr>
          <w:rFonts w:hint="eastAsia" w:ascii="宋体" w:hAnsi="宋体" w:cs="宋体"/>
          <w:b/>
          <w:color w:val="auto"/>
          <w:sz w:val="24"/>
          <w:highlight w:val="none"/>
        </w:rPr>
        <w:t>（注：此承诺书由参选人法定代表人亲笔签署或法定代表人的章，并加盖单位公章）</w:t>
      </w:r>
      <w:bookmarkStart w:id="63" w:name="_Toc323199452"/>
      <w:bookmarkStart w:id="64" w:name="_Toc344409075"/>
      <w:bookmarkStart w:id="65" w:name="_Toc346096038"/>
      <w:bookmarkStart w:id="66" w:name="_Toc344409279"/>
    </w:p>
    <w:p w14:paraId="1D87B868">
      <w:pPr>
        <w:pStyle w:val="3"/>
        <w:bidi w:val="0"/>
        <w:rPr>
          <w:rFonts w:hint="eastAsia"/>
          <w:color w:val="auto"/>
          <w:highlight w:val="none"/>
        </w:rPr>
      </w:pPr>
      <w:bookmarkStart w:id="67" w:name="_Toc29730"/>
      <w:r>
        <w:rPr>
          <w:rFonts w:hint="eastAsia"/>
          <w:color w:val="auto"/>
          <w:highlight w:val="none"/>
        </w:rPr>
        <w:t>3、比选一览表</w:t>
      </w:r>
      <w:bookmarkEnd w:id="63"/>
      <w:bookmarkEnd w:id="64"/>
      <w:bookmarkEnd w:id="65"/>
      <w:bookmarkEnd w:id="66"/>
      <w:bookmarkEnd w:id="67"/>
    </w:p>
    <w:p w14:paraId="001C4A9F">
      <w:pPr>
        <w:rPr>
          <w:rFonts w:hint="eastAsia" w:ascii="宋体" w:hAnsi="宋体" w:cs="宋体"/>
          <w:color w:val="auto"/>
          <w:sz w:val="24"/>
          <w:highlight w:val="none"/>
        </w:rPr>
      </w:pPr>
    </w:p>
    <w:p w14:paraId="6B8FB416">
      <w:pPr>
        <w:rPr>
          <w:rFonts w:hint="eastAsia" w:ascii="宋体" w:hAnsi="宋体" w:cs="宋体"/>
          <w:color w:val="auto"/>
          <w:sz w:val="24"/>
          <w:highlight w:val="none"/>
        </w:rPr>
      </w:pPr>
    </w:p>
    <w:p w14:paraId="37F01836">
      <w:pPr>
        <w:rPr>
          <w:rFonts w:hint="eastAsia" w:ascii="宋体" w:hAnsi="宋体" w:cs="宋体"/>
          <w:color w:val="auto"/>
          <w:sz w:val="24"/>
          <w:highlight w:val="none"/>
        </w:rPr>
      </w:pPr>
      <w:r>
        <w:rPr>
          <w:rFonts w:hint="eastAsia" w:ascii="宋体" w:hAnsi="宋体" w:cs="宋体"/>
          <w:color w:val="auto"/>
          <w:sz w:val="24"/>
          <w:highlight w:val="none"/>
        </w:rPr>
        <w:t xml:space="preserve">项目名称：                                            项目编号：   </w:t>
      </w:r>
    </w:p>
    <w:tbl>
      <w:tblPr>
        <w:tblStyle w:val="16"/>
        <w:tblpPr w:leftFromText="180" w:rightFromText="180" w:vertAnchor="text" w:horzAnchor="page" w:tblpX="990" w:tblpY="423"/>
        <w:tblOverlap w:val="never"/>
        <w:tblW w:w="104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810"/>
        <w:gridCol w:w="750"/>
        <w:gridCol w:w="770"/>
        <w:gridCol w:w="2955"/>
        <w:gridCol w:w="1845"/>
        <w:gridCol w:w="1425"/>
        <w:gridCol w:w="1134"/>
      </w:tblGrid>
      <w:tr w14:paraId="4F73A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trPr>
        <w:tc>
          <w:tcPr>
            <w:tcW w:w="732" w:type="dxa"/>
            <w:noWrap w:val="0"/>
            <w:vAlign w:val="center"/>
          </w:tcPr>
          <w:p w14:paraId="4FA01F75">
            <w:pPr>
              <w:jc w:val="center"/>
              <w:rPr>
                <w:rFonts w:hint="eastAsia" w:ascii="宋体" w:hAnsi="宋体" w:cs="宋体"/>
                <w:color w:val="auto"/>
                <w:sz w:val="24"/>
                <w:highlight w:val="none"/>
              </w:rPr>
            </w:pPr>
            <w:r>
              <w:rPr>
                <w:rFonts w:hint="eastAsia" w:ascii="宋体" w:hAnsi="宋体" w:cs="宋体"/>
                <w:color w:val="auto"/>
                <w:sz w:val="24"/>
                <w:highlight w:val="none"/>
              </w:rPr>
              <w:t>序号</w:t>
            </w:r>
          </w:p>
        </w:tc>
        <w:tc>
          <w:tcPr>
            <w:tcW w:w="810" w:type="dxa"/>
            <w:noWrap w:val="0"/>
            <w:vAlign w:val="center"/>
          </w:tcPr>
          <w:p w14:paraId="0F054A4B">
            <w:pPr>
              <w:jc w:val="center"/>
              <w:rPr>
                <w:rFonts w:hint="eastAsia" w:ascii="宋体" w:hAnsi="宋体" w:cs="宋体"/>
                <w:color w:val="auto"/>
                <w:sz w:val="24"/>
                <w:highlight w:val="none"/>
              </w:rPr>
            </w:pPr>
            <w:r>
              <w:rPr>
                <w:rFonts w:hint="eastAsia" w:ascii="宋体" w:hAnsi="宋体" w:cs="宋体"/>
                <w:color w:val="auto"/>
                <w:sz w:val="24"/>
                <w:highlight w:val="none"/>
              </w:rPr>
              <w:t>项目名称</w:t>
            </w:r>
          </w:p>
        </w:tc>
        <w:tc>
          <w:tcPr>
            <w:tcW w:w="750" w:type="dxa"/>
            <w:noWrap w:val="0"/>
            <w:vAlign w:val="center"/>
          </w:tcPr>
          <w:p w14:paraId="1820A8E9">
            <w:pPr>
              <w:jc w:val="center"/>
              <w:rPr>
                <w:rFonts w:hint="eastAsia" w:ascii="宋体" w:hAnsi="宋体" w:cs="宋体"/>
                <w:color w:val="auto"/>
                <w:sz w:val="24"/>
                <w:highlight w:val="none"/>
              </w:rPr>
            </w:pPr>
            <w:r>
              <w:rPr>
                <w:rFonts w:hint="eastAsia" w:ascii="宋体" w:hAnsi="宋体" w:cs="宋体"/>
                <w:color w:val="auto"/>
                <w:sz w:val="24"/>
                <w:highlight w:val="none"/>
              </w:rPr>
              <w:t>数量</w:t>
            </w:r>
          </w:p>
        </w:tc>
        <w:tc>
          <w:tcPr>
            <w:tcW w:w="770" w:type="dxa"/>
            <w:noWrap w:val="0"/>
            <w:vAlign w:val="center"/>
          </w:tcPr>
          <w:p w14:paraId="2101670D">
            <w:pPr>
              <w:jc w:val="center"/>
              <w:rPr>
                <w:rFonts w:hint="eastAsia" w:ascii="宋体" w:hAnsi="宋体" w:cs="宋体"/>
                <w:color w:val="auto"/>
                <w:sz w:val="24"/>
                <w:highlight w:val="none"/>
              </w:rPr>
            </w:pPr>
            <w:r>
              <w:rPr>
                <w:rFonts w:hint="eastAsia" w:ascii="宋体" w:hAnsi="宋体" w:cs="宋体"/>
                <w:color w:val="auto"/>
                <w:sz w:val="24"/>
                <w:highlight w:val="none"/>
              </w:rPr>
              <w:t>单位</w:t>
            </w:r>
          </w:p>
        </w:tc>
        <w:tc>
          <w:tcPr>
            <w:tcW w:w="2955" w:type="dxa"/>
            <w:noWrap w:val="0"/>
            <w:vAlign w:val="center"/>
          </w:tcPr>
          <w:p w14:paraId="7AF5533C">
            <w:pPr>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租赁单价</w:t>
            </w:r>
          </w:p>
        </w:tc>
        <w:tc>
          <w:tcPr>
            <w:tcW w:w="1845" w:type="dxa"/>
            <w:noWrap w:val="0"/>
            <w:vAlign w:val="center"/>
          </w:tcPr>
          <w:p w14:paraId="2B53270A">
            <w:pPr>
              <w:jc w:val="center"/>
              <w:rPr>
                <w:rFonts w:hint="eastAsia" w:ascii="宋体" w:hAnsi="宋体" w:cs="宋体"/>
                <w:color w:val="auto"/>
                <w:sz w:val="24"/>
                <w:highlight w:val="none"/>
              </w:rPr>
            </w:pPr>
            <w:r>
              <w:rPr>
                <w:rFonts w:hint="eastAsia" w:ascii="宋体" w:hAnsi="宋体" w:cs="宋体"/>
                <w:color w:val="auto"/>
                <w:sz w:val="24"/>
                <w:highlight w:val="none"/>
              </w:rPr>
              <w:t>租期</w:t>
            </w:r>
          </w:p>
        </w:tc>
        <w:tc>
          <w:tcPr>
            <w:tcW w:w="1425" w:type="dxa"/>
            <w:noWrap w:val="0"/>
            <w:vAlign w:val="center"/>
          </w:tcPr>
          <w:p w14:paraId="6D3590BF">
            <w:pPr>
              <w:jc w:val="center"/>
              <w:rPr>
                <w:rFonts w:hint="eastAsia" w:ascii="宋体" w:hAnsi="宋体" w:cs="宋体"/>
                <w:color w:val="auto"/>
                <w:sz w:val="24"/>
                <w:highlight w:val="none"/>
              </w:rPr>
            </w:pPr>
            <w:r>
              <w:rPr>
                <w:rFonts w:hint="eastAsia" w:ascii="宋体" w:hAnsi="宋体" w:cs="宋体"/>
                <w:color w:val="auto"/>
                <w:sz w:val="24"/>
                <w:highlight w:val="none"/>
              </w:rPr>
              <w:t>服务地点</w:t>
            </w:r>
          </w:p>
        </w:tc>
        <w:tc>
          <w:tcPr>
            <w:tcW w:w="1134" w:type="dxa"/>
            <w:noWrap w:val="0"/>
            <w:vAlign w:val="center"/>
          </w:tcPr>
          <w:p w14:paraId="131FC2B1">
            <w:pPr>
              <w:jc w:val="center"/>
              <w:rPr>
                <w:rFonts w:hint="eastAsia" w:ascii="宋体" w:hAnsi="宋体" w:cs="宋体"/>
                <w:color w:val="auto"/>
                <w:sz w:val="24"/>
                <w:highlight w:val="none"/>
              </w:rPr>
            </w:pPr>
            <w:r>
              <w:rPr>
                <w:rFonts w:hint="eastAsia" w:ascii="宋体" w:hAnsi="宋体" w:cs="宋体"/>
                <w:color w:val="auto"/>
                <w:sz w:val="24"/>
                <w:highlight w:val="none"/>
              </w:rPr>
              <w:t>备注</w:t>
            </w:r>
          </w:p>
        </w:tc>
      </w:tr>
      <w:tr w14:paraId="24CE0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9" w:hRule="atLeast"/>
        </w:trPr>
        <w:tc>
          <w:tcPr>
            <w:tcW w:w="732" w:type="dxa"/>
            <w:noWrap w:val="0"/>
            <w:vAlign w:val="center"/>
          </w:tcPr>
          <w:p w14:paraId="0A840AB3">
            <w:pPr>
              <w:adjustRightInd w:val="0"/>
              <w:snapToGrid w:val="0"/>
              <w:spacing w:line="440" w:lineRule="exact"/>
              <w:jc w:val="center"/>
              <w:rPr>
                <w:rFonts w:hint="eastAsia" w:ascii="宋体" w:hAnsi="宋体" w:cs="宋体"/>
                <w:bCs/>
                <w:snapToGrid w:val="0"/>
                <w:color w:val="auto"/>
                <w:kern w:val="0"/>
                <w:sz w:val="24"/>
                <w:highlight w:val="none"/>
              </w:rPr>
            </w:pPr>
            <w:r>
              <w:rPr>
                <w:rFonts w:hint="eastAsia" w:ascii="宋体" w:hAnsi="宋体" w:cs="宋体"/>
                <w:b w:val="0"/>
                <w:bCs/>
                <w:snapToGrid w:val="0"/>
                <w:color w:val="auto"/>
                <w:kern w:val="0"/>
                <w:sz w:val="24"/>
                <w:highlight w:val="none"/>
              </w:rPr>
              <w:t>1</w:t>
            </w:r>
          </w:p>
        </w:tc>
        <w:tc>
          <w:tcPr>
            <w:tcW w:w="810" w:type="dxa"/>
            <w:noWrap w:val="0"/>
            <w:vAlign w:val="center"/>
          </w:tcPr>
          <w:p w14:paraId="257A4F73">
            <w:pPr>
              <w:adjustRightInd w:val="0"/>
              <w:snapToGrid w:val="0"/>
              <w:spacing w:line="440" w:lineRule="exact"/>
              <w:jc w:val="center"/>
              <w:rPr>
                <w:rFonts w:hint="eastAsia" w:ascii="宋体" w:hAnsi="宋体" w:cs="宋体"/>
                <w:bCs/>
                <w:snapToGrid w:val="0"/>
                <w:color w:val="auto"/>
                <w:kern w:val="0"/>
                <w:sz w:val="24"/>
                <w:highlight w:val="none"/>
              </w:rPr>
            </w:pPr>
            <w:r>
              <w:rPr>
                <w:rFonts w:hint="eastAsia" w:ascii="宋体" w:hAnsi="宋体" w:cs="宋体"/>
                <w:b w:val="0"/>
                <w:bCs/>
                <w:snapToGrid w:val="0"/>
                <w:color w:val="auto"/>
                <w:kern w:val="0"/>
                <w:sz w:val="24"/>
                <w:highlight w:val="none"/>
                <w:lang w:eastAsia="zh-CN"/>
              </w:rPr>
              <w:t>起始</w:t>
            </w:r>
            <w:r>
              <w:rPr>
                <w:rFonts w:hint="eastAsia" w:ascii="宋体" w:hAnsi="宋体" w:cs="宋体"/>
                <w:b w:val="0"/>
                <w:bCs/>
                <w:snapToGrid w:val="0"/>
                <w:color w:val="auto"/>
                <w:kern w:val="0"/>
                <w:sz w:val="24"/>
                <w:highlight w:val="none"/>
              </w:rPr>
              <w:t>租金报价</w:t>
            </w:r>
          </w:p>
        </w:tc>
        <w:tc>
          <w:tcPr>
            <w:tcW w:w="750" w:type="dxa"/>
            <w:noWrap w:val="0"/>
            <w:vAlign w:val="center"/>
          </w:tcPr>
          <w:p w14:paraId="1ED787E3">
            <w:pPr>
              <w:adjustRightInd w:val="0"/>
              <w:snapToGrid w:val="0"/>
              <w:spacing w:line="440" w:lineRule="exact"/>
              <w:jc w:val="center"/>
              <w:rPr>
                <w:rFonts w:hint="default" w:ascii="宋体" w:hAnsi="宋体" w:eastAsia="宋体" w:cs="宋体"/>
                <w:bCs/>
                <w:snapToGrid w:val="0"/>
                <w:color w:val="auto"/>
                <w:kern w:val="0"/>
                <w:sz w:val="24"/>
                <w:highlight w:val="none"/>
                <w:lang w:val="en-US" w:eastAsia="zh-CN"/>
              </w:rPr>
            </w:pPr>
            <w:r>
              <w:rPr>
                <w:rStyle w:val="24"/>
                <w:rFonts w:hint="eastAsia" w:cs="宋体"/>
                <w:b w:val="0"/>
                <w:bCs/>
                <w:color w:val="auto"/>
                <w:sz w:val="24"/>
                <w:szCs w:val="24"/>
                <w:highlight w:val="none"/>
                <w:lang w:val="en-US" w:eastAsia="zh-CN"/>
              </w:rPr>
              <w:t>/</w:t>
            </w:r>
          </w:p>
        </w:tc>
        <w:tc>
          <w:tcPr>
            <w:tcW w:w="770" w:type="dxa"/>
            <w:noWrap w:val="0"/>
            <w:vAlign w:val="center"/>
          </w:tcPr>
          <w:p w14:paraId="0162346D">
            <w:pPr>
              <w:adjustRightInd w:val="0"/>
              <w:snapToGrid w:val="0"/>
              <w:spacing w:line="440" w:lineRule="exact"/>
              <w:jc w:val="center"/>
              <w:rPr>
                <w:rFonts w:hint="eastAsia" w:ascii="宋体" w:hAnsi="宋体" w:eastAsia="宋体" w:cs="宋体"/>
                <w:bCs/>
                <w:snapToGrid w:val="0"/>
                <w:color w:val="auto"/>
                <w:kern w:val="0"/>
                <w:sz w:val="24"/>
                <w:highlight w:val="none"/>
                <w:lang w:eastAsia="zh-CN"/>
              </w:rPr>
            </w:pPr>
            <w:r>
              <w:rPr>
                <w:rFonts w:hint="eastAsia" w:ascii="宋体" w:hAnsi="宋体" w:cs="宋体"/>
                <w:b w:val="0"/>
                <w:bCs/>
                <w:snapToGrid w:val="0"/>
                <w:color w:val="auto"/>
                <w:kern w:val="0"/>
                <w:sz w:val="24"/>
                <w:highlight w:val="none"/>
                <w:lang w:val="en-US" w:eastAsia="zh-CN"/>
              </w:rPr>
              <w:t>/</w:t>
            </w:r>
          </w:p>
        </w:tc>
        <w:tc>
          <w:tcPr>
            <w:tcW w:w="2955" w:type="dxa"/>
            <w:noWrap w:val="0"/>
            <w:vAlign w:val="center"/>
          </w:tcPr>
          <w:p w14:paraId="3ECF7117">
            <w:pPr>
              <w:adjustRightInd w:val="0"/>
              <w:snapToGrid w:val="0"/>
              <w:spacing w:line="440" w:lineRule="exact"/>
              <w:ind w:firstLine="480" w:firstLineChars="200"/>
              <w:jc w:val="both"/>
              <w:rPr>
                <w:rFonts w:hint="eastAsia" w:ascii="宋体" w:hAnsi="宋体" w:cs="宋体"/>
                <w:snapToGrid w:val="0"/>
                <w:color w:val="auto"/>
                <w:kern w:val="0"/>
                <w:sz w:val="24"/>
                <w:highlight w:val="none"/>
              </w:rPr>
            </w:pPr>
            <w:r>
              <w:rPr>
                <w:rStyle w:val="24"/>
                <w:rFonts w:hint="eastAsia" w:cs="宋体"/>
                <w:b w:val="0"/>
                <w:bCs/>
                <w:color w:val="auto"/>
                <w:sz w:val="24"/>
                <w:szCs w:val="24"/>
                <w:highlight w:val="none"/>
                <w:u w:val="single"/>
                <w:lang w:val="en-US" w:eastAsia="zh-CN"/>
              </w:rPr>
              <w:t xml:space="preserve">       </w:t>
            </w:r>
            <w:r>
              <w:rPr>
                <w:rStyle w:val="24"/>
                <w:rFonts w:hint="default" w:cs="宋体"/>
                <w:b w:val="0"/>
                <w:bCs/>
                <w:color w:val="auto"/>
                <w:sz w:val="24"/>
                <w:szCs w:val="24"/>
                <w:highlight w:val="none"/>
              </w:rPr>
              <w:t>元/</w:t>
            </w:r>
            <w:r>
              <w:rPr>
                <w:rStyle w:val="24"/>
                <w:rFonts w:hint="eastAsia" w:cs="宋体"/>
                <w:b w:val="0"/>
                <w:bCs/>
                <w:color w:val="auto"/>
                <w:sz w:val="24"/>
                <w:szCs w:val="24"/>
                <w:highlight w:val="none"/>
                <w:lang w:val="en-US" w:eastAsia="zh-CN"/>
              </w:rPr>
              <w:t>年</w:t>
            </w:r>
          </w:p>
        </w:tc>
        <w:tc>
          <w:tcPr>
            <w:tcW w:w="1845" w:type="dxa"/>
            <w:noWrap w:val="0"/>
            <w:vAlign w:val="center"/>
          </w:tcPr>
          <w:p w14:paraId="72ED5EEC">
            <w:pPr>
              <w:adjustRightInd w:val="0"/>
              <w:snapToGrid w:val="0"/>
              <w:spacing w:line="440" w:lineRule="exact"/>
              <w:jc w:val="center"/>
              <w:rPr>
                <w:rFonts w:hint="eastAsia" w:ascii="宋体" w:hAnsi="宋体" w:cs="宋体"/>
                <w:bCs/>
                <w:snapToGrid w:val="0"/>
                <w:color w:val="auto"/>
                <w:kern w:val="0"/>
                <w:sz w:val="24"/>
                <w:highlight w:val="none"/>
              </w:rPr>
            </w:pPr>
            <w:r>
              <w:rPr>
                <w:rFonts w:hint="eastAsia" w:ascii="宋体" w:hAnsi="宋体" w:cs="宋体"/>
                <w:b w:val="0"/>
                <w:bCs/>
                <w:snapToGrid w:val="0"/>
                <w:color w:val="auto"/>
                <w:kern w:val="0"/>
                <w:sz w:val="24"/>
                <w:highlight w:val="none"/>
              </w:rPr>
              <w:t>响应比选文件要求</w:t>
            </w:r>
          </w:p>
        </w:tc>
        <w:tc>
          <w:tcPr>
            <w:tcW w:w="1425" w:type="dxa"/>
            <w:noWrap w:val="0"/>
            <w:vAlign w:val="center"/>
          </w:tcPr>
          <w:p w14:paraId="13024B54">
            <w:pPr>
              <w:adjustRightInd w:val="0"/>
              <w:snapToGrid w:val="0"/>
              <w:spacing w:line="440" w:lineRule="exact"/>
              <w:jc w:val="center"/>
              <w:rPr>
                <w:rFonts w:hint="eastAsia" w:ascii="宋体" w:hAnsi="宋体" w:cs="宋体"/>
                <w:bCs/>
                <w:snapToGrid w:val="0"/>
                <w:color w:val="auto"/>
                <w:kern w:val="0"/>
                <w:sz w:val="24"/>
                <w:highlight w:val="none"/>
              </w:rPr>
            </w:pPr>
            <w:r>
              <w:rPr>
                <w:rFonts w:hint="eastAsia" w:ascii="宋体" w:hAnsi="宋体" w:cs="宋体"/>
                <w:b w:val="0"/>
                <w:bCs/>
                <w:snapToGrid w:val="0"/>
                <w:color w:val="auto"/>
                <w:kern w:val="0"/>
                <w:sz w:val="24"/>
                <w:highlight w:val="none"/>
              </w:rPr>
              <w:t>比选人指定地点</w:t>
            </w:r>
          </w:p>
        </w:tc>
        <w:tc>
          <w:tcPr>
            <w:tcW w:w="1134" w:type="dxa"/>
            <w:noWrap w:val="0"/>
            <w:vAlign w:val="center"/>
          </w:tcPr>
          <w:p w14:paraId="60645488">
            <w:pPr>
              <w:adjustRightInd w:val="0"/>
              <w:snapToGrid w:val="0"/>
              <w:spacing w:line="440" w:lineRule="exact"/>
              <w:jc w:val="center"/>
              <w:rPr>
                <w:rFonts w:hint="eastAsia" w:ascii="宋体" w:hAnsi="宋体" w:cs="宋体"/>
                <w:bCs/>
                <w:snapToGrid w:val="0"/>
                <w:color w:val="auto"/>
                <w:kern w:val="0"/>
                <w:sz w:val="24"/>
                <w:highlight w:val="none"/>
              </w:rPr>
            </w:pPr>
            <w:r>
              <w:rPr>
                <w:rFonts w:hint="eastAsia" w:ascii="宋体" w:hAnsi="宋体" w:cs="宋体"/>
                <w:b w:val="0"/>
                <w:bCs/>
                <w:snapToGrid w:val="0"/>
                <w:color w:val="auto"/>
                <w:kern w:val="0"/>
                <w:sz w:val="24"/>
                <w:highlight w:val="none"/>
              </w:rPr>
              <w:t>必须大于等于</w:t>
            </w:r>
            <w:r>
              <w:rPr>
                <w:rFonts w:hint="eastAsia" w:ascii="宋体" w:hAnsi="宋体" w:cs="宋体"/>
                <w:b w:val="0"/>
                <w:bCs/>
                <w:snapToGrid w:val="0"/>
                <w:color w:val="auto"/>
                <w:kern w:val="0"/>
                <w:sz w:val="24"/>
                <w:highlight w:val="none"/>
                <w:lang w:val="en-US" w:eastAsia="zh-CN"/>
              </w:rPr>
              <w:t>105万元/年</w:t>
            </w:r>
          </w:p>
        </w:tc>
      </w:tr>
      <w:tr w14:paraId="58534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4" w:hRule="atLeast"/>
        </w:trPr>
        <w:tc>
          <w:tcPr>
            <w:tcW w:w="732" w:type="dxa"/>
            <w:noWrap w:val="0"/>
            <w:vAlign w:val="center"/>
          </w:tcPr>
          <w:p w14:paraId="1EABB1E7">
            <w:pPr>
              <w:adjustRightInd w:val="0"/>
              <w:snapToGrid w:val="0"/>
              <w:spacing w:line="440" w:lineRule="exact"/>
              <w:jc w:val="center"/>
              <w:rPr>
                <w:rFonts w:hint="eastAsia" w:ascii="宋体" w:hAnsi="宋体" w:cs="宋体"/>
                <w:bCs/>
                <w:snapToGrid w:val="0"/>
                <w:color w:val="auto"/>
                <w:kern w:val="0"/>
                <w:sz w:val="24"/>
                <w:highlight w:val="none"/>
              </w:rPr>
            </w:pPr>
            <w:r>
              <w:rPr>
                <w:rFonts w:hint="eastAsia" w:ascii="宋体" w:hAnsi="宋体" w:cs="宋体"/>
                <w:b w:val="0"/>
                <w:bCs/>
                <w:snapToGrid w:val="0"/>
                <w:color w:val="auto"/>
                <w:kern w:val="0"/>
                <w:sz w:val="24"/>
                <w:highlight w:val="none"/>
              </w:rPr>
              <w:t>2</w:t>
            </w:r>
          </w:p>
        </w:tc>
        <w:tc>
          <w:tcPr>
            <w:tcW w:w="810" w:type="dxa"/>
            <w:noWrap w:val="0"/>
            <w:vAlign w:val="center"/>
          </w:tcPr>
          <w:p w14:paraId="677ADC75">
            <w:pPr>
              <w:adjustRightInd w:val="0"/>
              <w:snapToGrid w:val="0"/>
              <w:spacing w:line="440" w:lineRule="exact"/>
              <w:jc w:val="center"/>
              <w:rPr>
                <w:rFonts w:hint="eastAsia" w:ascii="宋体" w:hAnsi="宋体" w:cs="宋体"/>
                <w:bCs/>
                <w:snapToGrid w:val="0"/>
                <w:color w:val="auto"/>
                <w:kern w:val="0"/>
                <w:sz w:val="24"/>
                <w:highlight w:val="none"/>
              </w:rPr>
            </w:pPr>
            <w:r>
              <w:rPr>
                <w:rFonts w:hint="eastAsia" w:ascii="宋体" w:hAnsi="宋体" w:cs="宋体"/>
                <w:b w:val="0"/>
                <w:bCs/>
                <w:snapToGrid w:val="0"/>
                <w:color w:val="auto"/>
                <w:kern w:val="0"/>
                <w:sz w:val="24"/>
                <w:highlight w:val="none"/>
                <w:lang w:eastAsia="zh-CN"/>
              </w:rPr>
              <w:t>每</w:t>
            </w:r>
            <w:r>
              <w:rPr>
                <w:rFonts w:hint="eastAsia" w:ascii="宋体" w:hAnsi="宋体" w:cs="宋体"/>
                <w:b w:val="0"/>
                <w:bCs/>
                <w:snapToGrid w:val="0"/>
                <w:color w:val="auto"/>
                <w:kern w:val="0"/>
                <w:sz w:val="24"/>
                <w:highlight w:val="none"/>
                <w:lang w:val="en-US" w:eastAsia="zh-CN"/>
              </w:rPr>
              <w:t>三</w:t>
            </w:r>
            <w:r>
              <w:rPr>
                <w:rFonts w:hint="eastAsia" w:ascii="宋体" w:hAnsi="宋体" w:cs="宋体"/>
                <w:b w:val="0"/>
                <w:bCs/>
                <w:snapToGrid w:val="0"/>
                <w:color w:val="auto"/>
                <w:kern w:val="0"/>
                <w:sz w:val="24"/>
                <w:highlight w:val="none"/>
                <w:lang w:eastAsia="zh-CN"/>
              </w:rPr>
              <w:t>年</w:t>
            </w:r>
            <w:r>
              <w:rPr>
                <w:rFonts w:hint="eastAsia" w:ascii="宋体" w:hAnsi="宋体" w:cs="宋体"/>
                <w:b w:val="0"/>
                <w:bCs/>
                <w:snapToGrid w:val="0"/>
                <w:color w:val="auto"/>
                <w:kern w:val="0"/>
                <w:sz w:val="24"/>
                <w:highlight w:val="none"/>
              </w:rPr>
              <w:t>租金递增报价</w:t>
            </w:r>
          </w:p>
        </w:tc>
        <w:tc>
          <w:tcPr>
            <w:tcW w:w="750" w:type="dxa"/>
            <w:noWrap w:val="0"/>
            <w:vAlign w:val="center"/>
          </w:tcPr>
          <w:p w14:paraId="694E01E6">
            <w:pPr>
              <w:adjustRightInd w:val="0"/>
              <w:snapToGrid w:val="0"/>
              <w:spacing w:line="440" w:lineRule="exact"/>
              <w:jc w:val="center"/>
              <w:rPr>
                <w:rStyle w:val="24"/>
                <w:rFonts w:hint="default" w:cs="宋体"/>
                <w:b/>
                <w:bCs/>
                <w:color w:val="auto"/>
                <w:sz w:val="24"/>
                <w:szCs w:val="24"/>
                <w:highlight w:val="none"/>
              </w:rPr>
            </w:pPr>
            <w:r>
              <w:rPr>
                <w:rFonts w:hint="eastAsia" w:ascii="宋体" w:hAnsi="宋体" w:cs="宋体"/>
                <w:b w:val="0"/>
                <w:bCs/>
                <w:snapToGrid w:val="0"/>
                <w:color w:val="auto"/>
                <w:kern w:val="0"/>
                <w:sz w:val="24"/>
                <w:highlight w:val="none"/>
              </w:rPr>
              <w:t>/</w:t>
            </w:r>
          </w:p>
        </w:tc>
        <w:tc>
          <w:tcPr>
            <w:tcW w:w="770" w:type="dxa"/>
            <w:noWrap w:val="0"/>
            <w:vAlign w:val="center"/>
          </w:tcPr>
          <w:p w14:paraId="1423DAF6">
            <w:pPr>
              <w:adjustRightInd w:val="0"/>
              <w:snapToGrid w:val="0"/>
              <w:spacing w:line="440" w:lineRule="exact"/>
              <w:jc w:val="center"/>
              <w:rPr>
                <w:rFonts w:hint="eastAsia" w:ascii="宋体" w:hAnsi="宋体" w:cs="宋体"/>
                <w:bCs/>
                <w:snapToGrid w:val="0"/>
                <w:color w:val="auto"/>
                <w:kern w:val="0"/>
                <w:sz w:val="24"/>
                <w:highlight w:val="none"/>
              </w:rPr>
            </w:pPr>
            <w:r>
              <w:rPr>
                <w:rFonts w:hint="eastAsia" w:ascii="宋体" w:hAnsi="宋体" w:cs="宋体"/>
                <w:b w:val="0"/>
                <w:bCs/>
                <w:snapToGrid w:val="0"/>
                <w:color w:val="auto"/>
                <w:kern w:val="0"/>
                <w:sz w:val="24"/>
                <w:highlight w:val="none"/>
              </w:rPr>
              <w:t>/</w:t>
            </w:r>
          </w:p>
        </w:tc>
        <w:tc>
          <w:tcPr>
            <w:tcW w:w="2955" w:type="dxa"/>
            <w:noWrap w:val="0"/>
            <w:vAlign w:val="center"/>
          </w:tcPr>
          <w:p w14:paraId="11AA27E5">
            <w:pPr>
              <w:spacing w:line="480" w:lineRule="auto"/>
              <w:jc w:val="center"/>
              <w:rPr>
                <w:rStyle w:val="24"/>
                <w:rFonts w:hint="default" w:cs="宋体"/>
                <w:color w:val="auto"/>
                <w:sz w:val="24"/>
                <w:szCs w:val="24"/>
                <w:highlight w:val="none"/>
              </w:rPr>
            </w:pPr>
            <w:r>
              <w:rPr>
                <w:rStyle w:val="24"/>
                <w:rFonts w:hint="eastAsia" w:cs="宋体"/>
                <w:b w:val="0"/>
                <w:bCs/>
                <w:color w:val="auto"/>
                <w:sz w:val="24"/>
                <w:szCs w:val="24"/>
                <w:highlight w:val="none"/>
                <w:lang w:eastAsia="zh-CN"/>
              </w:rPr>
              <w:t>每</w:t>
            </w:r>
            <w:r>
              <w:rPr>
                <w:rStyle w:val="24"/>
                <w:rFonts w:hint="eastAsia" w:cs="宋体"/>
                <w:b w:val="0"/>
                <w:bCs/>
                <w:color w:val="auto"/>
                <w:sz w:val="24"/>
                <w:szCs w:val="24"/>
                <w:highlight w:val="none"/>
                <w:lang w:val="en-US" w:eastAsia="zh-CN"/>
              </w:rPr>
              <w:t>三</w:t>
            </w:r>
            <w:r>
              <w:rPr>
                <w:rStyle w:val="24"/>
                <w:rFonts w:hint="eastAsia" w:cs="宋体"/>
                <w:b w:val="0"/>
                <w:bCs/>
                <w:color w:val="auto"/>
                <w:sz w:val="24"/>
                <w:szCs w:val="24"/>
                <w:highlight w:val="none"/>
                <w:lang w:eastAsia="zh-CN"/>
              </w:rPr>
              <w:t>年</w:t>
            </w:r>
            <w:r>
              <w:rPr>
                <w:rStyle w:val="24"/>
                <w:rFonts w:hint="default" w:cs="宋体"/>
                <w:b w:val="0"/>
                <w:bCs/>
                <w:color w:val="auto"/>
                <w:sz w:val="24"/>
                <w:szCs w:val="24"/>
                <w:highlight w:val="none"/>
              </w:rPr>
              <w:t>租金单价递增5%</w:t>
            </w:r>
          </w:p>
        </w:tc>
        <w:tc>
          <w:tcPr>
            <w:tcW w:w="1845" w:type="dxa"/>
            <w:noWrap w:val="0"/>
            <w:vAlign w:val="center"/>
          </w:tcPr>
          <w:p w14:paraId="5B53142E">
            <w:pPr>
              <w:adjustRightInd w:val="0"/>
              <w:snapToGrid w:val="0"/>
              <w:spacing w:line="440" w:lineRule="exact"/>
              <w:jc w:val="center"/>
              <w:rPr>
                <w:rFonts w:hint="eastAsia" w:ascii="宋体" w:hAnsi="宋体" w:cs="宋体"/>
                <w:bCs/>
                <w:snapToGrid w:val="0"/>
                <w:color w:val="auto"/>
                <w:kern w:val="0"/>
                <w:sz w:val="24"/>
                <w:highlight w:val="none"/>
              </w:rPr>
            </w:pPr>
            <w:r>
              <w:rPr>
                <w:rFonts w:hint="eastAsia" w:ascii="宋体" w:hAnsi="宋体" w:cs="宋体"/>
                <w:b w:val="0"/>
                <w:bCs/>
                <w:snapToGrid w:val="0"/>
                <w:color w:val="auto"/>
                <w:kern w:val="0"/>
                <w:sz w:val="24"/>
                <w:highlight w:val="none"/>
              </w:rPr>
              <w:t>响应比选文件要求</w:t>
            </w:r>
          </w:p>
        </w:tc>
        <w:tc>
          <w:tcPr>
            <w:tcW w:w="1425" w:type="dxa"/>
            <w:noWrap w:val="0"/>
            <w:vAlign w:val="center"/>
          </w:tcPr>
          <w:p w14:paraId="03EE32E9">
            <w:pPr>
              <w:adjustRightInd w:val="0"/>
              <w:snapToGrid w:val="0"/>
              <w:spacing w:line="440" w:lineRule="exact"/>
              <w:jc w:val="center"/>
              <w:rPr>
                <w:rFonts w:hint="eastAsia" w:ascii="宋体" w:hAnsi="宋体" w:cs="宋体"/>
                <w:bCs/>
                <w:snapToGrid w:val="0"/>
                <w:color w:val="auto"/>
                <w:kern w:val="0"/>
                <w:sz w:val="24"/>
                <w:highlight w:val="none"/>
              </w:rPr>
            </w:pPr>
            <w:r>
              <w:rPr>
                <w:rFonts w:hint="eastAsia" w:ascii="宋体" w:hAnsi="宋体" w:cs="宋体"/>
                <w:b w:val="0"/>
                <w:bCs/>
                <w:snapToGrid w:val="0"/>
                <w:color w:val="auto"/>
                <w:kern w:val="0"/>
                <w:sz w:val="24"/>
                <w:highlight w:val="none"/>
              </w:rPr>
              <w:t>比选人指定地点</w:t>
            </w:r>
          </w:p>
        </w:tc>
        <w:tc>
          <w:tcPr>
            <w:tcW w:w="1134" w:type="dxa"/>
            <w:noWrap w:val="0"/>
            <w:vAlign w:val="center"/>
          </w:tcPr>
          <w:p w14:paraId="035B90C1">
            <w:pPr>
              <w:adjustRightInd w:val="0"/>
              <w:snapToGrid w:val="0"/>
              <w:spacing w:line="440" w:lineRule="exact"/>
              <w:jc w:val="center"/>
              <w:rPr>
                <w:rFonts w:hint="eastAsia" w:ascii="宋体" w:hAnsi="宋体" w:cs="宋体"/>
                <w:bCs/>
                <w:snapToGrid w:val="0"/>
                <w:color w:val="auto"/>
                <w:kern w:val="0"/>
                <w:sz w:val="24"/>
                <w:highlight w:val="none"/>
              </w:rPr>
            </w:pPr>
            <w:r>
              <w:rPr>
                <w:rFonts w:hint="eastAsia" w:ascii="宋体" w:hAnsi="宋体" w:cs="宋体"/>
                <w:b w:val="0"/>
                <w:bCs/>
                <w:snapToGrid w:val="0"/>
                <w:color w:val="auto"/>
                <w:kern w:val="0"/>
                <w:sz w:val="24"/>
                <w:highlight w:val="none"/>
                <w:lang w:val="en-US" w:eastAsia="zh-CN"/>
              </w:rPr>
              <w:t>响应并承诺租金每三年递增5%</w:t>
            </w:r>
          </w:p>
        </w:tc>
      </w:tr>
    </w:tbl>
    <w:p w14:paraId="7764C602">
      <w:pPr>
        <w:rPr>
          <w:rFonts w:hint="eastAsia" w:ascii="宋体" w:hAnsi="宋体" w:cs="宋体"/>
          <w:b/>
          <w:color w:val="auto"/>
          <w:sz w:val="24"/>
          <w:highlight w:val="none"/>
        </w:rPr>
      </w:pPr>
    </w:p>
    <w:p w14:paraId="1318A616">
      <w:pPr>
        <w:spacing w:line="480" w:lineRule="auto"/>
        <w:rPr>
          <w:rFonts w:hint="eastAsia" w:ascii="宋体" w:hAnsi="宋体" w:cs="宋体"/>
          <w:color w:val="auto"/>
          <w:sz w:val="24"/>
          <w:highlight w:val="none"/>
        </w:rPr>
      </w:pPr>
      <w:r>
        <w:rPr>
          <w:rFonts w:hint="eastAsia" w:ascii="宋体" w:hAnsi="宋体" w:cs="宋体"/>
          <w:color w:val="auto"/>
          <w:sz w:val="24"/>
          <w:highlight w:val="none"/>
        </w:rPr>
        <w:t>备注：租金报价必须以元为单位</w:t>
      </w:r>
      <w:r>
        <w:rPr>
          <w:rFonts w:hint="eastAsia" w:ascii="宋体" w:hAnsi="宋体" w:cs="宋体"/>
          <w:color w:val="auto"/>
          <w:sz w:val="24"/>
          <w:highlight w:val="none"/>
          <w:lang w:eastAsia="zh-CN"/>
        </w:rPr>
        <w:t>的</w:t>
      </w:r>
      <w:r>
        <w:rPr>
          <w:rFonts w:hint="eastAsia" w:ascii="宋体" w:hAnsi="宋体" w:cs="宋体"/>
          <w:color w:val="auto"/>
          <w:sz w:val="24"/>
          <w:highlight w:val="none"/>
          <w:lang w:val="en-US" w:eastAsia="zh-CN"/>
        </w:rPr>
        <w:t>整数报价</w:t>
      </w:r>
      <w:r>
        <w:rPr>
          <w:rFonts w:hint="eastAsia" w:ascii="宋体" w:hAnsi="宋体" w:cs="宋体"/>
          <w:color w:val="auto"/>
          <w:sz w:val="24"/>
          <w:highlight w:val="none"/>
        </w:rPr>
        <w:t>。</w:t>
      </w:r>
    </w:p>
    <w:p w14:paraId="7D06DD7F">
      <w:pPr>
        <w:spacing w:line="480" w:lineRule="auto"/>
        <w:jc w:val="right"/>
        <w:rPr>
          <w:rFonts w:hint="eastAsia" w:ascii="宋体" w:hAnsi="宋体" w:cs="宋体"/>
          <w:color w:val="auto"/>
          <w:sz w:val="24"/>
          <w:highlight w:val="none"/>
        </w:rPr>
      </w:pPr>
    </w:p>
    <w:p w14:paraId="11E31932">
      <w:pPr>
        <w:spacing w:line="480" w:lineRule="auto"/>
        <w:jc w:val="right"/>
        <w:rPr>
          <w:rFonts w:hint="eastAsia" w:ascii="宋体" w:hAnsi="宋体" w:cs="宋体"/>
          <w:color w:val="auto"/>
          <w:sz w:val="24"/>
          <w:highlight w:val="none"/>
        </w:rPr>
      </w:pPr>
      <w:r>
        <w:rPr>
          <w:rFonts w:hint="eastAsia" w:ascii="宋体" w:hAnsi="宋体" w:cs="宋体"/>
          <w:color w:val="auto"/>
          <w:sz w:val="24"/>
          <w:highlight w:val="none"/>
        </w:rPr>
        <w:t xml:space="preserve">参选人：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（盖单位章）</w:t>
      </w:r>
    </w:p>
    <w:p w14:paraId="1A4A77DE">
      <w:pPr>
        <w:spacing w:line="480" w:lineRule="auto"/>
        <w:jc w:val="right"/>
        <w:rPr>
          <w:rFonts w:hint="eastAsia" w:ascii="宋体" w:hAnsi="宋体" w:cs="宋体"/>
          <w:color w:val="auto"/>
          <w:sz w:val="24"/>
          <w:highlight w:val="none"/>
        </w:rPr>
      </w:pPr>
      <w:r>
        <w:rPr>
          <w:rFonts w:hint="eastAsia" w:ascii="宋体" w:hAnsi="宋体" w:cs="宋体"/>
          <w:color w:val="auto"/>
          <w:sz w:val="24"/>
          <w:highlight w:val="none"/>
        </w:rPr>
        <w:t xml:space="preserve">法定代表人或委托代理人：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（签字或盖章）</w:t>
      </w:r>
    </w:p>
    <w:p w14:paraId="3F748F02">
      <w:pPr>
        <w:spacing w:line="480" w:lineRule="auto"/>
        <w:jc w:val="right"/>
        <w:rPr>
          <w:rFonts w:hint="eastAsia" w:ascii="宋体" w:hAnsi="宋体" w:cs="宋体"/>
          <w:color w:val="auto"/>
          <w:sz w:val="24"/>
          <w:highlight w:val="none"/>
        </w:rPr>
        <w:sectPr>
          <w:pgSz w:w="11906" w:h="16838"/>
          <w:pgMar w:top="1701" w:right="850" w:bottom="1134" w:left="850" w:header="851" w:footer="754" w:gutter="0"/>
          <w:cols w:space="720" w:num="1"/>
          <w:docGrid w:type="lines" w:linePitch="318" w:charSpace="0"/>
        </w:sectPr>
      </w:pPr>
      <w:r>
        <w:rPr>
          <w:rFonts w:hint="eastAsia" w:ascii="宋体" w:hAnsi="宋体" w:cs="宋体"/>
          <w:color w:val="auto"/>
          <w:sz w:val="24"/>
          <w:highlight w:val="none"/>
        </w:rPr>
        <w:t xml:space="preserve">日期：   年   月   日 </w:t>
      </w:r>
    </w:p>
    <w:p w14:paraId="708DCE15">
      <w:pPr>
        <w:pStyle w:val="3"/>
        <w:bidi w:val="0"/>
        <w:rPr>
          <w:rFonts w:hint="eastAsia"/>
          <w:color w:val="auto"/>
          <w:highlight w:val="none"/>
        </w:rPr>
      </w:pPr>
      <w:bookmarkStart w:id="68" w:name="_Toc30372"/>
      <w:r>
        <w:rPr>
          <w:rFonts w:hint="eastAsia"/>
          <w:color w:val="auto"/>
          <w:highlight w:val="none"/>
        </w:rPr>
        <w:t>4、比选一览明细表</w:t>
      </w:r>
      <w:bookmarkEnd w:id="68"/>
    </w:p>
    <w:p w14:paraId="71CC8335">
      <w:pPr>
        <w:rPr>
          <w:rFonts w:hint="eastAsia" w:ascii="宋体" w:hAnsi="宋体" w:cs="宋体"/>
          <w:color w:val="auto"/>
          <w:sz w:val="24"/>
          <w:highlight w:val="none"/>
        </w:rPr>
      </w:pPr>
    </w:p>
    <w:p w14:paraId="3C25A2FC">
      <w:pPr>
        <w:pStyle w:val="5"/>
        <w:spacing w:line="360" w:lineRule="auto"/>
        <w:ind w:firstLine="482" w:firstLineChars="200"/>
        <w:rPr>
          <w:rStyle w:val="24"/>
          <w:rFonts w:hint="default" w:cs="宋体"/>
          <w:b/>
          <w:bCs/>
          <w:color w:val="auto"/>
          <w:sz w:val="24"/>
          <w:szCs w:val="24"/>
          <w:highlight w:val="none"/>
        </w:rPr>
      </w:pPr>
    </w:p>
    <w:p w14:paraId="3B10D9FF">
      <w:pPr>
        <w:pStyle w:val="5"/>
        <w:spacing w:line="360" w:lineRule="auto"/>
        <w:ind w:firstLine="480" w:firstLineChars="200"/>
        <w:rPr>
          <w:rStyle w:val="24"/>
          <w:rFonts w:hint="default" w:cs="宋体"/>
          <w:b w:val="0"/>
          <w:bCs w:val="0"/>
          <w:color w:val="auto"/>
          <w:sz w:val="24"/>
          <w:szCs w:val="24"/>
          <w:highlight w:val="none"/>
        </w:rPr>
      </w:pPr>
      <w:r>
        <w:rPr>
          <w:rStyle w:val="24"/>
          <w:rFonts w:hint="default" w:cs="宋体"/>
          <w:b w:val="0"/>
          <w:bCs w:val="0"/>
          <w:color w:val="auto"/>
          <w:sz w:val="24"/>
          <w:szCs w:val="24"/>
          <w:highlight w:val="none"/>
        </w:rPr>
        <w:t>（1）</w:t>
      </w:r>
      <w:r>
        <w:rPr>
          <w:rStyle w:val="24"/>
          <w:rFonts w:hint="eastAsia" w:cs="宋体"/>
          <w:b w:val="0"/>
          <w:bCs w:val="0"/>
          <w:color w:val="auto"/>
          <w:sz w:val="24"/>
          <w:szCs w:val="24"/>
          <w:highlight w:val="none"/>
          <w:lang w:eastAsia="zh-CN"/>
        </w:rPr>
        <w:t>起始</w:t>
      </w:r>
      <w:r>
        <w:rPr>
          <w:rStyle w:val="24"/>
          <w:rFonts w:hint="default" w:cs="宋体"/>
          <w:b w:val="0"/>
          <w:bCs w:val="0"/>
          <w:color w:val="auto"/>
          <w:sz w:val="24"/>
          <w:szCs w:val="24"/>
          <w:highlight w:val="none"/>
        </w:rPr>
        <w:t>租金报价：按</w:t>
      </w:r>
      <w:r>
        <w:rPr>
          <w:rStyle w:val="24"/>
          <w:rFonts w:hint="eastAsia" w:cs="宋体"/>
          <w:b w:val="0"/>
          <w:bCs w:val="0"/>
          <w:color w:val="auto"/>
          <w:sz w:val="24"/>
          <w:szCs w:val="24"/>
          <w:highlight w:val="none"/>
          <w:lang w:eastAsia="zh-CN"/>
        </w:rPr>
        <w:t>租赁价格</w:t>
      </w:r>
      <w:r>
        <w:rPr>
          <w:rStyle w:val="24"/>
          <w:rFonts w:hint="default" w:cs="宋体"/>
          <w:b w:val="0"/>
          <w:bCs w:val="0"/>
          <w:color w:val="auto"/>
          <w:sz w:val="24"/>
          <w:szCs w:val="24"/>
          <w:highlight w:val="none"/>
          <w:u w:val="single"/>
        </w:rPr>
        <w:t xml:space="preserve">         </w:t>
      </w:r>
      <w:r>
        <w:rPr>
          <w:rStyle w:val="24"/>
          <w:rFonts w:hint="default" w:cs="宋体"/>
          <w:b w:val="0"/>
          <w:bCs w:val="0"/>
          <w:color w:val="auto"/>
          <w:sz w:val="24"/>
          <w:szCs w:val="24"/>
          <w:highlight w:val="none"/>
        </w:rPr>
        <w:t>元/年计算租金。</w:t>
      </w:r>
    </w:p>
    <w:p w14:paraId="45F0BF65">
      <w:pPr>
        <w:pStyle w:val="5"/>
        <w:spacing w:line="360" w:lineRule="auto"/>
        <w:ind w:firstLine="480" w:firstLineChars="200"/>
        <w:rPr>
          <w:rStyle w:val="24"/>
          <w:rFonts w:hint="default" w:cs="宋体"/>
          <w:b w:val="0"/>
          <w:bCs w:val="0"/>
          <w:color w:val="auto"/>
          <w:sz w:val="24"/>
          <w:szCs w:val="24"/>
          <w:highlight w:val="none"/>
        </w:rPr>
      </w:pPr>
      <w:r>
        <w:rPr>
          <w:rStyle w:val="24"/>
          <w:rFonts w:hint="default" w:cs="宋体"/>
          <w:b w:val="0"/>
          <w:bCs w:val="0"/>
          <w:color w:val="auto"/>
          <w:sz w:val="24"/>
          <w:szCs w:val="24"/>
          <w:highlight w:val="none"/>
        </w:rPr>
        <w:t>（2）租金每三年递增</w:t>
      </w:r>
      <w:r>
        <w:rPr>
          <w:rStyle w:val="24"/>
          <w:rFonts w:hint="default" w:cs="宋体"/>
          <w:b w:val="0"/>
          <w:bCs w:val="0"/>
          <w:color w:val="auto"/>
          <w:sz w:val="24"/>
          <w:szCs w:val="24"/>
          <w:highlight w:val="none"/>
          <w:u w:val="single"/>
        </w:rPr>
        <w:t xml:space="preserve">  5  </w:t>
      </w:r>
      <w:r>
        <w:rPr>
          <w:rStyle w:val="24"/>
          <w:rFonts w:hint="default" w:cs="宋体"/>
          <w:b w:val="0"/>
          <w:bCs w:val="0"/>
          <w:color w:val="auto"/>
          <w:sz w:val="24"/>
          <w:szCs w:val="24"/>
          <w:highlight w:val="none"/>
        </w:rPr>
        <w:t>%。</w:t>
      </w:r>
    </w:p>
    <w:p w14:paraId="5CD499FB">
      <w:pPr>
        <w:spacing w:line="480" w:lineRule="auto"/>
        <w:jc w:val="right"/>
        <w:rPr>
          <w:rFonts w:hint="eastAsia" w:ascii="宋体" w:hAnsi="宋体" w:cs="宋体"/>
          <w:color w:val="auto"/>
          <w:sz w:val="24"/>
          <w:highlight w:val="none"/>
        </w:rPr>
      </w:pPr>
    </w:p>
    <w:p w14:paraId="4FD93CBE">
      <w:pPr>
        <w:spacing w:line="480" w:lineRule="auto"/>
        <w:jc w:val="right"/>
        <w:rPr>
          <w:rFonts w:hint="eastAsia" w:ascii="宋体" w:hAnsi="宋体" w:cs="宋体"/>
          <w:color w:val="auto"/>
          <w:sz w:val="24"/>
          <w:highlight w:val="none"/>
        </w:rPr>
      </w:pPr>
    </w:p>
    <w:p w14:paraId="5D3229C7">
      <w:pPr>
        <w:spacing w:line="480" w:lineRule="auto"/>
        <w:jc w:val="right"/>
        <w:rPr>
          <w:rFonts w:hint="eastAsia" w:ascii="宋体" w:hAnsi="宋体" w:cs="宋体"/>
          <w:color w:val="auto"/>
          <w:sz w:val="24"/>
          <w:highlight w:val="none"/>
        </w:rPr>
      </w:pPr>
      <w:r>
        <w:rPr>
          <w:rFonts w:hint="eastAsia" w:ascii="宋体" w:hAnsi="宋体" w:cs="宋体"/>
          <w:color w:val="auto"/>
          <w:sz w:val="24"/>
          <w:highlight w:val="none"/>
        </w:rPr>
        <w:t xml:space="preserve">参选人：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（盖单位章）</w:t>
      </w:r>
    </w:p>
    <w:p w14:paraId="131582EC">
      <w:pPr>
        <w:spacing w:line="480" w:lineRule="auto"/>
        <w:jc w:val="right"/>
        <w:rPr>
          <w:rFonts w:hint="eastAsia" w:ascii="宋体" w:hAnsi="宋体" w:cs="宋体"/>
          <w:color w:val="auto"/>
          <w:sz w:val="24"/>
          <w:highlight w:val="none"/>
        </w:rPr>
      </w:pPr>
      <w:r>
        <w:rPr>
          <w:rFonts w:hint="eastAsia" w:ascii="宋体" w:hAnsi="宋体" w:cs="宋体"/>
          <w:color w:val="auto"/>
          <w:sz w:val="24"/>
          <w:highlight w:val="none"/>
        </w:rPr>
        <w:t xml:space="preserve">法定代表人或委托代理人：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（签字或盖章）</w:t>
      </w:r>
    </w:p>
    <w:p w14:paraId="3C6E1F5B">
      <w:pPr>
        <w:spacing w:line="480" w:lineRule="auto"/>
        <w:jc w:val="right"/>
        <w:rPr>
          <w:rFonts w:hint="eastAsia" w:ascii="宋体" w:hAnsi="宋体" w:cs="宋体"/>
          <w:color w:val="auto"/>
          <w:sz w:val="24"/>
          <w:highlight w:val="none"/>
        </w:rPr>
        <w:sectPr>
          <w:pgSz w:w="11906" w:h="16838"/>
          <w:pgMar w:top="1701" w:right="850" w:bottom="1134" w:left="850" w:header="851" w:footer="754" w:gutter="0"/>
          <w:cols w:space="720" w:num="1"/>
          <w:docGrid w:type="lines" w:linePitch="318" w:charSpace="0"/>
        </w:sectPr>
      </w:pPr>
      <w:r>
        <w:rPr>
          <w:rFonts w:hint="eastAsia" w:ascii="宋体" w:hAnsi="宋体" w:cs="宋体"/>
          <w:color w:val="auto"/>
          <w:sz w:val="24"/>
          <w:highlight w:val="none"/>
        </w:rPr>
        <w:t>日期：   年    月    日</w:t>
      </w:r>
    </w:p>
    <w:p w14:paraId="00F2705D">
      <w:pPr>
        <w:pStyle w:val="3"/>
        <w:bidi w:val="0"/>
        <w:rPr>
          <w:rFonts w:hint="eastAsia"/>
          <w:color w:val="auto"/>
          <w:highlight w:val="none"/>
        </w:rPr>
      </w:pPr>
      <w:bookmarkStart w:id="69" w:name="_Toc26351"/>
      <w:r>
        <w:rPr>
          <w:rFonts w:hint="eastAsia"/>
          <w:color w:val="auto"/>
          <w:highlight w:val="none"/>
        </w:rPr>
        <w:t>5、服务需求响应/偏离表</w:t>
      </w:r>
      <w:bookmarkEnd w:id="69"/>
    </w:p>
    <w:p w14:paraId="226673B3">
      <w:pPr>
        <w:pStyle w:val="5"/>
        <w:rPr>
          <w:rFonts w:hint="eastAsia" w:ascii="宋体" w:hAnsi="宋体" w:cs="宋体"/>
          <w:color w:val="auto"/>
          <w:sz w:val="24"/>
          <w:highlight w:val="none"/>
        </w:rPr>
      </w:pPr>
    </w:p>
    <w:p w14:paraId="0D5AB5D6">
      <w:pPr>
        <w:rPr>
          <w:rFonts w:hint="eastAsia" w:ascii="宋体" w:hAnsi="宋体" w:cs="宋体"/>
          <w:color w:val="auto"/>
          <w:sz w:val="24"/>
          <w:highlight w:val="none"/>
        </w:rPr>
      </w:pPr>
      <w:r>
        <w:rPr>
          <w:rFonts w:hint="eastAsia" w:ascii="宋体" w:hAnsi="宋体" w:cs="宋体"/>
          <w:color w:val="auto"/>
          <w:sz w:val="24"/>
          <w:highlight w:val="none"/>
        </w:rPr>
        <w:t>项目名称：                                            项目编号：</w:t>
      </w:r>
    </w:p>
    <w:tbl>
      <w:tblPr>
        <w:tblStyle w:val="16"/>
        <w:tblW w:w="9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3"/>
        <w:gridCol w:w="2184"/>
        <w:gridCol w:w="2184"/>
        <w:gridCol w:w="2184"/>
        <w:gridCol w:w="2184"/>
      </w:tblGrid>
      <w:tr w14:paraId="32EA4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jc w:val="center"/>
        </w:trPr>
        <w:tc>
          <w:tcPr>
            <w:tcW w:w="1243" w:type="dxa"/>
            <w:noWrap w:val="0"/>
            <w:vAlign w:val="center"/>
          </w:tcPr>
          <w:p w14:paraId="775FB0D2">
            <w:pPr>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序号</w:t>
            </w:r>
          </w:p>
        </w:tc>
        <w:tc>
          <w:tcPr>
            <w:tcW w:w="2184" w:type="dxa"/>
            <w:noWrap w:val="0"/>
            <w:vAlign w:val="center"/>
          </w:tcPr>
          <w:p w14:paraId="5FEE5D8F">
            <w:pPr>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比选文件服务需求条款</w:t>
            </w:r>
          </w:p>
        </w:tc>
        <w:tc>
          <w:tcPr>
            <w:tcW w:w="2184" w:type="dxa"/>
            <w:noWrap w:val="0"/>
            <w:vAlign w:val="center"/>
          </w:tcPr>
          <w:p w14:paraId="6F73DF94">
            <w:pPr>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参选文件实际服务内容及响应</w:t>
            </w:r>
          </w:p>
        </w:tc>
        <w:tc>
          <w:tcPr>
            <w:tcW w:w="2184" w:type="dxa"/>
            <w:noWrap w:val="0"/>
            <w:vAlign w:val="center"/>
          </w:tcPr>
          <w:p w14:paraId="7DD32245">
            <w:pPr>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响应/偏离</w:t>
            </w:r>
          </w:p>
        </w:tc>
        <w:tc>
          <w:tcPr>
            <w:tcW w:w="2184" w:type="dxa"/>
            <w:noWrap w:val="0"/>
            <w:vAlign w:val="center"/>
          </w:tcPr>
          <w:p w14:paraId="2CB1D6E4">
            <w:pPr>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说明</w:t>
            </w:r>
          </w:p>
        </w:tc>
      </w:tr>
      <w:tr w14:paraId="32190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1243" w:type="dxa"/>
            <w:noWrap w:val="0"/>
            <w:vAlign w:val="center"/>
          </w:tcPr>
          <w:p w14:paraId="59709E80">
            <w:pPr>
              <w:bidi w:val="0"/>
              <w:rPr>
                <w:rFonts w:hint="eastAsia"/>
                <w:color w:val="auto"/>
                <w:highlight w:val="none"/>
                <w:lang w:val="en-US" w:eastAsia="zh-CN"/>
              </w:rPr>
            </w:pPr>
            <w:r>
              <w:rPr>
                <w:rFonts w:hint="eastAsia"/>
                <w:color w:val="auto"/>
                <w:highlight w:val="none"/>
                <w:lang w:val="en-US" w:eastAsia="zh-CN"/>
              </w:rPr>
              <w:t>1</w:t>
            </w:r>
          </w:p>
        </w:tc>
        <w:tc>
          <w:tcPr>
            <w:tcW w:w="2184" w:type="dxa"/>
            <w:noWrap w:val="0"/>
            <w:vAlign w:val="center"/>
          </w:tcPr>
          <w:p w14:paraId="4BFA4395">
            <w:pPr>
              <w:bidi w:val="0"/>
              <w:rPr>
                <w:rFonts w:hint="eastAsia"/>
                <w:color w:val="auto"/>
                <w:highlight w:val="none"/>
                <w:lang w:val="en-US" w:eastAsia="zh-CN"/>
              </w:rPr>
            </w:pPr>
          </w:p>
        </w:tc>
        <w:tc>
          <w:tcPr>
            <w:tcW w:w="2184" w:type="dxa"/>
            <w:noWrap w:val="0"/>
            <w:vAlign w:val="center"/>
          </w:tcPr>
          <w:p w14:paraId="076694E5">
            <w:pPr>
              <w:bidi w:val="0"/>
              <w:rPr>
                <w:rFonts w:hint="eastAsia"/>
                <w:color w:val="auto"/>
                <w:highlight w:val="none"/>
                <w:lang w:val="en-US" w:eastAsia="zh-CN"/>
              </w:rPr>
            </w:pPr>
          </w:p>
        </w:tc>
        <w:tc>
          <w:tcPr>
            <w:tcW w:w="2184" w:type="dxa"/>
            <w:noWrap w:val="0"/>
            <w:vAlign w:val="center"/>
          </w:tcPr>
          <w:p w14:paraId="45E9A128">
            <w:pPr>
              <w:bidi w:val="0"/>
              <w:rPr>
                <w:rFonts w:hint="eastAsia"/>
                <w:color w:val="auto"/>
                <w:highlight w:val="none"/>
                <w:lang w:val="en-US" w:eastAsia="zh-CN"/>
              </w:rPr>
            </w:pPr>
          </w:p>
        </w:tc>
        <w:tc>
          <w:tcPr>
            <w:tcW w:w="2184" w:type="dxa"/>
            <w:noWrap w:val="0"/>
            <w:vAlign w:val="center"/>
          </w:tcPr>
          <w:p w14:paraId="19BEE9DC">
            <w:pPr>
              <w:bidi w:val="0"/>
              <w:rPr>
                <w:rFonts w:hint="eastAsia"/>
                <w:color w:val="auto"/>
                <w:highlight w:val="none"/>
                <w:lang w:val="en-US" w:eastAsia="zh-CN"/>
              </w:rPr>
            </w:pPr>
          </w:p>
        </w:tc>
      </w:tr>
      <w:tr w14:paraId="33234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1243" w:type="dxa"/>
            <w:noWrap w:val="0"/>
            <w:vAlign w:val="center"/>
          </w:tcPr>
          <w:p w14:paraId="1B68E8C8">
            <w:pPr>
              <w:bidi w:val="0"/>
              <w:rPr>
                <w:rFonts w:hint="eastAsia"/>
                <w:color w:val="auto"/>
                <w:highlight w:val="none"/>
                <w:lang w:val="en-US" w:eastAsia="zh-CN"/>
              </w:rPr>
            </w:pPr>
            <w:r>
              <w:rPr>
                <w:rFonts w:hint="eastAsia"/>
                <w:color w:val="auto"/>
                <w:highlight w:val="none"/>
                <w:lang w:val="en-US" w:eastAsia="zh-CN"/>
              </w:rPr>
              <w:t>2</w:t>
            </w:r>
          </w:p>
        </w:tc>
        <w:tc>
          <w:tcPr>
            <w:tcW w:w="2184" w:type="dxa"/>
            <w:noWrap w:val="0"/>
            <w:vAlign w:val="center"/>
          </w:tcPr>
          <w:p w14:paraId="503C0989">
            <w:pPr>
              <w:bidi w:val="0"/>
              <w:rPr>
                <w:rFonts w:hint="eastAsia"/>
                <w:color w:val="auto"/>
                <w:highlight w:val="none"/>
                <w:lang w:val="en-US" w:eastAsia="zh-CN"/>
              </w:rPr>
            </w:pPr>
          </w:p>
        </w:tc>
        <w:tc>
          <w:tcPr>
            <w:tcW w:w="2184" w:type="dxa"/>
            <w:noWrap w:val="0"/>
            <w:vAlign w:val="center"/>
          </w:tcPr>
          <w:p w14:paraId="2DEE92BB">
            <w:pPr>
              <w:bidi w:val="0"/>
              <w:rPr>
                <w:rFonts w:hint="eastAsia"/>
                <w:color w:val="auto"/>
                <w:highlight w:val="none"/>
                <w:lang w:val="en-US" w:eastAsia="zh-CN"/>
              </w:rPr>
            </w:pPr>
          </w:p>
        </w:tc>
        <w:tc>
          <w:tcPr>
            <w:tcW w:w="2184" w:type="dxa"/>
            <w:noWrap w:val="0"/>
            <w:vAlign w:val="center"/>
          </w:tcPr>
          <w:p w14:paraId="7EABDE08">
            <w:pPr>
              <w:bidi w:val="0"/>
              <w:rPr>
                <w:rFonts w:hint="eastAsia"/>
                <w:color w:val="auto"/>
                <w:highlight w:val="none"/>
                <w:lang w:val="en-US" w:eastAsia="zh-CN"/>
              </w:rPr>
            </w:pPr>
          </w:p>
        </w:tc>
        <w:tc>
          <w:tcPr>
            <w:tcW w:w="2184" w:type="dxa"/>
            <w:noWrap w:val="0"/>
            <w:vAlign w:val="center"/>
          </w:tcPr>
          <w:p w14:paraId="30B58642">
            <w:pPr>
              <w:bidi w:val="0"/>
              <w:rPr>
                <w:rFonts w:hint="eastAsia"/>
                <w:color w:val="auto"/>
                <w:highlight w:val="none"/>
                <w:lang w:val="en-US" w:eastAsia="zh-CN"/>
              </w:rPr>
            </w:pPr>
          </w:p>
        </w:tc>
      </w:tr>
      <w:tr w14:paraId="7EB22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1243" w:type="dxa"/>
            <w:noWrap w:val="0"/>
            <w:vAlign w:val="center"/>
          </w:tcPr>
          <w:p w14:paraId="00F9D00D">
            <w:pPr>
              <w:bidi w:val="0"/>
              <w:rPr>
                <w:rFonts w:hint="eastAsia"/>
                <w:color w:val="auto"/>
                <w:highlight w:val="none"/>
                <w:lang w:val="en-US" w:eastAsia="zh-CN"/>
              </w:rPr>
            </w:pPr>
            <w:r>
              <w:rPr>
                <w:rFonts w:hint="eastAsia"/>
                <w:color w:val="auto"/>
                <w:highlight w:val="none"/>
                <w:lang w:val="en-US" w:eastAsia="zh-CN"/>
              </w:rPr>
              <w:t>3</w:t>
            </w:r>
          </w:p>
        </w:tc>
        <w:tc>
          <w:tcPr>
            <w:tcW w:w="2184" w:type="dxa"/>
            <w:noWrap w:val="0"/>
            <w:vAlign w:val="center"/>
          </w:tcPr>
          <w:p w14:paraId="71FC5598">
            <w:pPr>
              <w:bidi w:val="0"/>
              <w:rPr>
                <w:rFonts w:hint="eastAsia"/>
                <w:color w:val="auto"/>
                <w:highlight w:val="none"/>
                <w:lang w:val="en-US" w:eastAsia="zh-CN"/>
              </w:rPr>
            </w:pPr>
          </w:p>
        </w:tc>
        <w:tc>
          <w:tcPr>
            <w:tcW w:w="2184" w:type="dxa"/>
            <w:noWrap w:val="0"/>
            <w:vAlign w:val="center"/>
          </w:tcPr>
          <w:p w14:paraId="55B5529F">
            <w:pPr>
              <w:bidi w:val="0"/>
              <w:rPr>
                <w:rFonts w:hint="eastAsia"/>
                <w:color w:val="auto"/>
                <w:highlight w:val="none"/>
                <w:lang w:val="en-US" w:eastAsia="zh-CN"/>
              </w:rPr>
            </w:pPr>
          </w:p>
        </w:tc>
        <w:tc>
          <w:tcPr>
            <w:tcW w:w="2184" w:type="dxa"/>
            <w:noWrap w:val="0"/>
            <w:vAlign w:val="center"/>
          </w:tcPr>
          <w:p w14:paraId="60C4D2F3">
            <w:pPr>
              <w:bidi w:val="0"/>
              <w:rPr>
                <w:rFonts w:hint="eastAsia"/>
                <w:color w:val="auto"/>
                <w:highlight w:val="none"/>
                <w:lang w:val="en-US" w:eastAsia="zh-CN"/>
              </w:rPr>
            </w:pPr>
          </w:p>
        </w:tc>
        <w:tc>
          <w:tcPr>
            <w:tcW w:w="2184" w:type="dxa"/>
            <w:noWrap w:val="0"/>
            <w:vAlign w:val="center"/>
          </w:tcPr>
          <w:p w14:paraId="15468F43">
            <w:pPr>
              <w:bidi w:val="0"/>
              <w:rPr>
                <w:rFonts w:hint="eastAsia"/>
                <w:color w:val="auto"/>
                <w:highlight w:val="none"/>
                <w:lang w:val="en-US" w:eastAsia="zh-CN"/>
              </w:rPr>
            </w:pPr>
          </w:p>
        </w:tc>
      </w:tr>
      <w:tr w14:paraId="1C83A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1243" w:type="dxa"/>
            <w:noWrap w:val="0"/>
            <w:vAlign w:val="center"/>
          </w:tcPr>
          <w:p w14:paraId="5AB1D729">
            <w:pPr>
              <w:bidi w:val="0"/>
              <w:rPr>
                <w:rFonts w:hint="eastAsia"/>
                <w:color w:val="auto"/>
                <w:highlight w:val="none"/>
                <w:lang w:val="en-US" w:eastAsia="zh-CN"/>
              </w:rPr>
            </w:pPr>
            <w:r>
              <w:rPr>
                <w:rFonts w:hint="eastAsia"/>
                <w:color w:val="auto"/>
                <w:highlight w:val="none"/>
                <w:lang w:val="en-US" w:eastAsia="zh-CN"/>
              </w:rPr>
              <w:t>．．．</w:t>
            </w:r>
          </w:p>
        </w:tc>
        <w:tc>
          <w:tcPr>
            <w:tcW w:w="2184" w:type="dxa"/>
            <w:noWrap w:val="0"/>
            <w:vAlign w:val="center"/>
          </w:tcPr>
          <w:p w14:paraId="6E5F2070">
            <w:pPr>
              <w:bidi w:val="0"/>
              <w:rPr>
                <w:rFonts w:hint="eastAsia"/>
                <w:color w:val="auto"/>
                <w:highlight w:val="none"/>
                <w:lang w:val="en-US" w:eastAsia="zh-CN"/>
              </w:rPr>
            </w:pPr>
          </w:p>
        </w:tc>
        <w:tc>
          <w:tcPr>
            <w:tcW w:w="2184" w:type="dxa"/>
            <w:noWrap w:val="0"/>
            <w:vAlign w:val="center"/>
          </w:tcPr>
          <w:p w14:paraId="49E9CC2D">
            <w:pPr>
              <w:bidi w:val="0"/>
              <w:rPr>
                <w:rFonts w:hint="eastAsia"/>
                <w:color w:val="auto"/>
                <w:highlight w:val="none"/>
                <w:lang w:val="en-US" w:eastAsia="zh-CN"/>
              </w:rPr>
            </w:pPr>
          </w:p>
        </w:tc>
        <w:tc>
          <w:tcPr>
            <w:tcW w:w="2184" w:type="dxa"/>
            <w:noWrap w:val="0"/>
            <w:vAlign w:val="center"/>
          </w:tcPr>
          <w:p w14:paraId="148F33C4">
            <w:pPr>
              <w:bidi w:val="0"/>
              <w:rPr>
                <w:rFonts w:hint="eastAsia"/>
                <w:color w:val="auto"/>
                <w:highlight w:val="none"/>
                <w:lang w:val="en-US" w:eastAsia="zh-CN"/>
              </w:rPr>
            </w:pPr>
          </w:p>
        </w:tc>
        <w:tc>
          <w:tcPr>
            <w:tcW w:w="2184" w:type="dxa"/>
            <w:noWrap w:val="0"/>
            <w:vAlign w:val="center"/>
          </w:tcPr>
          <w:p w14:paraId="7A01B434">
            <w:pPr>
              <w:bidi w:val="0"/>
              <w:rPr>
                <w:rFonts w:hint="eastAsia"/>
                <w:color w:val="auto"/>
                <w:highlight w:val="none"/>
                <w:lang w:val="en-US" w:eastAsia="zh-CN"/>
              </w:rPr>
            </w:pPr>
          </w:p>
        </w:tc>
      </w:tr>
    </w:tbl>
    <w:p w14:paraId="562F3E6D">
      <w:pPr>
        <w:spacing w:line="480" w:lineRule="auto"/>
        <w:rPr>
          <w:rFonts w:hint="eastAsia" w:ascii="宋体" w:hAnsi="宋体" w:cs="宋体"/>
          <w:b/>
          <w:bCs/>
          <w:color w:val="auto"/>
          <w:sz w:val="24"/>
          <w:highlight w:val="none"/>
        </w:rPr>
      </w:pPr>
    </w:p>
    <w:p w14:paraId="626B87F8">
      <w:pPr>
        <w:spacing w:line="48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注：参选人提交的参选文件中与比选文件的服务需求有不同时，应逐条列在偏离表中；与比选文件的服务需求无不同时，须在表中标明“无偏离” ，并将认为参选人接受比选文件的要求。若参选人不按上述表格填写，所产生的一切后果由参选人承担。</w:t>
      </w:r>
    </w:p>
    <w:p w14:paraId="0F6B0137">
      <w:pPr>
        <w:spacing w:line="480" w:lineRule="auto"/>
        <w:rPr>
          <w:rFonts w:hint="eastAsia" w:ascii="宋体" w:hAnsi="宋体" w:cs="宋体"/>
          <w:color w:val="auto"/>
          <w:sz w:val="24"/>
          <w:highlight w:val="none"/>
        </w:rPr>
      </w:pPr>
    </w:p>
    <w:p w14:paraId="15413082">
      <w:pPr>
        <w:spacing w:line="480" w:lineRule="auto"/>
        <w:jc w:val="right"/>
        <w:rPr>
          <w:rFonts w:hint="eastAsia" w:ascii="宋体" w:hAnsi="宋体" w:cs="宋体"/>
          <w:color w:val="auto"/>
          <w:sz w:val="24"/>
          <w:highlight w:val="none"/>
        </w:rPr>
      </w:pPr>
    </w:p>
    <w:p w14:paraId="5C537605">
      <w:pPr>
        <w:spacing w:line="480" w:lineRule="auto"/>
        <w:jc w:val="right"/>
        <w:rPr>
          <w:rFonts w:hint="eastAsia" w:ascii="宋体" w:hAnsi="宋体" w:cs="宋体"/>
          <w:color w:val="auto"/>
          <w:sz w:val="24"/>
          <w:highlight w:val="none"/>
        </w:rPr>
      </w:pPr>
      <w:r>
        <w:rPr>
          <w:rFonts w:hint="eastAsia" w:ascii="宋体" w:hAnsi="宋体" w:cs="宋体"/>
          <w:color w:val="auto"/>
          <w:sz w:val="24"/>
          <w:highlight w:val="none"/>
        </w:rPr>
        <w:t xml:space="preserve">参选人：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（盖单位章）</w:t>
      </w:r>
    </w:p>
    <w:p w14:paraId="4C659302">
      <w:pPr>
        <w:spacing w:line="480" w:lineRule="auto"/>
        <w:jc w:val="right"/>
        <w:rPr>
          <w:rFonts w:hint="eastAsia" w:ascii="宋体" w:hAnsi="宋体" w:cs="宋体"/>
          <w:color w:val="auto"/>
          <w:sz w:val="24"/>
          <w:highlight w:val="none"/>
        </w:rPr>
      </w:pPr>
      <w:r>
        <w:rPr>
          <w:rFonts w:hint="eastAsia" w:ascii="宋体" w:hAnsi="宋体" w:cs="宋体"/>
          <w:color w:val="auto"/>
          <w:sz w:val="24"/>
          <w:highlight w:val="none"/>
        </w:rPr>
        <w:t xml:space="preserve">法定代表人或委托代理人：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（签字或盖章）</w:t>
      </w:r>
    </w:p>
    <w:p w14:paraId="18ED3D0A">
      <w:pPr>
        <w:spacing w:line="480" w:lineRule="auto"/>
        <w:jc w:val="right"/>
        <w:rPr>
          <w:rFonts w:hint="eastAsia" w:ascii="宋体" w:hAnsi="宋体" w:cs="宋体"/>
          <w:color w:val="auto"/>
          <w:sz w:val="24"/>
          <w:highlight w:val="none"/>
        </w:rPr>
      </w:pPr>
      <w:r>
        <w:rPr>
          <w:rFonts w:hint="eastAsia" w:ascii="宋体" w:hAnsi="宋体" w:cs="宋体"/>
          <w:color w:val="auto"/>
          <w:sz w:val="24"/>
          <w:highlight w:val="none"/>
        </w:rPr>
        <w:t>日期：   年    月    日</w:t>
      </w:r>
    </w:p>
    <w:p w14:paraId="3F695096">
      <w:pPr>
        <w:bidi w:val="0"/>
        <w:rPr>
          <w:rFonts w:hint="eastAsia"/>
          <w:color w:val="auto"/>
          <w:highlight w:val="none"/>
        </w:rPr>
      </w:pPr>
    </w:p>
    <w:p w14:paraId="099CA2FD">
      <w:pPr>
        <w:rPr>
          <w:rFonts w:hint="eastAsia" w:ascii="宋体" w:hAnsi="宋体" w:cs="宋体"/>
          <w:b/>
          <w:bCs/>
          <w:color w:val="auto"/>
          <w:sz w:val="24"/>
          <w:highlight w:val="none"/>
        </w:rPr>
      </w:pPr>
    </w:p>
    <w:p w14:paraId="35A88E70">
      <w:pPr>
        <w:pStyle w:val="21"/>
        <w:rPr>
          <w:rFonts w:hint="eastAsia" w:hAnsi="宋体" w:cs="宋体"/>
          <w:color w:val="auto"/>
          <w:sz w:val="24"/>
          <w:szCs w:val="24"/>
          <w:highlight w:val="none"/>
        </w:rPr>
      </w:pPr>
    </w:p>
    <w:p w14:paraId="79EDC8B2">
      <w:pPr>
        <w:pStyle w:val="3"/>
        <w:bidi w:val="0"/>
        <w:rPr>
          <w:rFonts w:hint="eastAsia"/>
          <w:color w:val="auto"/>
          <w:highlight w:val="none"/>
        </w:rPr>
      </w:pPr>
      <w:bookmarkStart w:id="70" w:name="_Toc17671"/>
      <w:r>
        <w:rPr>
          <w:rFonts w:hint="eastAsia"/>
          <w:color w:val="auto"/>
          <w:highlight w:val="none"/>
        </w:rPr>
        <w:t>6、商务条款响应/偏离表</w:t>
      </w:r>
      <w:bookmarkEnd w:id="70"/>
    </w:p>
    <w:p w14:paraId="6CACF98E">
      <w:pPr>
        <w:pStyle w:val="5"/>
        <w:rPr>
          <w:rFonts w:hint="eastAsia" w:ascii="宋体" w:hAnsi="宋体" w:cs="宋体"/>
          <w:color w:val="auto"/>
          <w:sz w:val="24"/>
          <w:highlight w:val="none"/>
        </w:rPr>
      </w:pPr>
    </w:p>
    <w:p w14:paraId="52A5A691">
      <w:pPr>
        <w:ind w:firstLine="480" w:firstLineChars="200"/>
        <w:jc w:val="left"/>
        <w:rPr>
          <w:rFonts w:hint="eastAsia" w:ascii="宋体" w:hAnsi="宋体" w:cs="宋体"/>
          <w:b/>
          <w:bCs/>
          <w:color w:val="auto"/>
          <w:sz w:val="24"/>
          <w:highlight w:val="none"/>
        </w:rPr>
      </w:pPr>
      <w:r>
        <w:rPr>
          <w:rFonts w:hint="eastAsia" w:ascii="宋体" w:hAnsi="宋体" w:cs="宋体"/>
          <w:color w:val="auto"/>
          <w:sz w:val="24"/>
          <w:highlight w:val="none"/>
        </w:rPr>
        <w:t>项目名称：                                    项目编号：</w:t>
      </w:r>
    </w:p>
    <w:p w14:paraId="5AA8A41F">
      <w:pPr>
        <w:rPr>
          <w:rFonts w:hint="eastAsia" w:ascii="宋体" w:hAnsi="宋体" w:cs="宋体"/>
          <w:color w:val="auto"/>
          <w:sz w:val="24"/>
          <w:highlight w:val="none"/>
        </w:rPr>
      </w:pPr>
    </w:p>
    <w:tbl>
      <w:tblPr>
        <w:tblStyle w:val="16"/>
        <w:tblW w:w="99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8"/>
        <w:gridCol w:w="2600"/>
        <w:gridCol w:w="2633"/>
        <w:gridCol w:w="1450"/>
        <w:gridCol w:w="1666"/>
      </w:tblGrid>
      <w:tr w14:paraId="4C263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8" w:hRule="atLeast"/>
          <w:jc w:val="center"/>
        </w:trPr>
        <w:tc>
          <w:tcPr>
            <w:tcW w:w="1608" w:type="dxa"/>
            <w:noWrap w:val="0"/>
            <w:vAlign w:val="center"/>
          </w:tcPr>
          <w:p w14:paraId="3D0F0A27">
            <w:pPr>
              <w:jc w:val="center"/>
              <w:rPr>
                <w:rFonts w:hint="eastAsia" w:ascii="宋体" w:hAnsi="宋体" w:cs="宋体"/>
                <w:color w:val="auto"/>
                <w:sz w:val="24"/>
                <w:highlight w:val="none"/>
              </w:rPr>
            </w:pPr>
            <w:r>
              <w:rPr>
                <w:rFonts w:hint="eastAsia" w:ascii="宋体" w:hAnsi="宋体" w:cs="宋体"/>
                <w:color w:val="auto"/>
                <w:sz w:val="24"/>
                <w:highlight w:val="none"/>
              </w:rPr>
              <w:t>序号</w:t>
            </w:r>
          </w:p>
        </w:tc>
        <w:tc>
          <w:tcPr>
            <w:tcW w:w="2600" w:type="dxa"/>
            <w:noWrap w:val="0"/>
            <w:vAlign w:val="center"/>
          </w:tcPr>
          <w:p w14:paraId="6E58AA19">
            <w:pPr>
              <w:jc w:val="center"/>
              <w:rPr>
                <w:rFonts w:hint="eastAsia" w:ascii="宋体" w:hAnsi="宋体" w:cs="宋体"/>
                <w:color w:val="auto"/>
                <w:sz w:val="24"/>
                <w:highlight w:val="none"/>
              </w:rPr>
            </w:pPr>
            <w:r>
              <w:rPr>
                <w:rFonts w:hint="eastAsia" w:ascii="宋体" w:hAnsi="宋体" w:cs="宋体"/>
                <w:color w:val="auto"/>
                <w:sz w:val="24"/>
                <w:highlight w:val="none"/>
              </w:rPr>
              <w:t>比选文件的商务条款</w:t>
            </w:r>
          </w:p>
        </w:tc>
        <w:tc>
          <w:tcPr>
            <w:tcW w:w="2633" w:type="dxa"/>
            <w:noWrap w:val="0"/>
            <w:vAlign w:val="center"/>
          </w:tcPr>
          <w:p w14:paraId="3C15B56D">
            <w:pPr>
              <w:jc w:val="center"/>
              <w:rPr>
                <w:rFonts w:hint="eastAsia" w:ascii="宋体" w:hAnsi="宋体" w:cs="宋体"/>
                <w:color w:val="auto"/>
                <w:sz w:val="24"/>
                <w:highlight w:val="none"/>
              </w:rPr>
            </w:pPr>
            <w:r>
              <w:rPr>
                <w:rFonts w:hint="eastAsia" w:ascii="宋体" w:hAnsi="宋体" w:cs="宋体"/>
                <w:color w:val="auto"/>
                <w:sz w:val="24"/>
                <w:highlight w:val="none"/>
              </w:rPr>
              <w:t>参选文件的商务条款</w:t>
            </w:r>
          </w:p>
        </w:tc>
        <w:tc>
          <w:tcPr>
            <w:tcW w:w="1450" w:type="dxa"/>
            <w:noWrap w:val="0"/>
            <w:vAlign w:val="center"/>
          </w:tcPr>
          <w:p w14:paraId="5117FA7C">
            <w:pPr>
              <w:jc w:val="center"/>
              <w:rPr>
                <w:rFonts w:hint="eastAsia" w:ascii="宋体" w:hAnsi="宋体" w:cs="宋体"/>
                <w:color w:val="auto"/>
                <w:sz w:val="24"/>
                <w:highlight w:val="none"/>
              </w:rPr>
            </w:pPr>
            <w:r>
              <w:rPr>
                <w:rFonts w:hint="eastAsia" w:ascii="宋体" w:hAnsi="宋体" w:cs="宋体"/>
                <w:color w:val="auto"/>
                <w:sz w:val="24"/>
                <w:highlight w:val="none"/>
              </w:rPr>
              <w:t>响应/偏离</w:t>
            </w:r>
          </w:p>
        </w:tc>
        <w:tc>
          <w:tcPr>
            <w:tcW w:w="1666" w:type="dxa"/>
            <w:noWrap w:val="0"/>
            <w:vAlign w:val="center"/>
          </w:tcPr>
          <w:p w14:paraId="45B43684">
            <w:pPr>
              <w:jc w:val="center"/>
              <w:rPr>
                <w:rFonts w:hint="eastAsia" w:ascii="宋体" w:hAnsi="宋体" w:cs="宋体"/>
                <w:color w:val="auto"/>
                <w:sz w:val="24"/>
                <w:highlight w:val="none"/>
              </w:rPr>
            </w:pPr>
            <w:r>
              <w:rPr>
                <w:rFonts w:hint="eastAsia" w:ascii="宋体" w:hAnsi="宋体" w:cs="宋体"/>
                <w:color w:val="auto"/>
                <w:sz w:val="24"/>
                <w:highlight w:val="none"/>
              </w:rPr>
              <w:t>说明</w:t>
            </w:r>
          </w:p>
        </w:tc>
      </w:tr>
      <w:tr w14:paraId="6C7BD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1" w:hRule="atLeast"/>
          <w:jc w:val="center"/>
        </w:trPr>
        <w:tc>
          <w:tcPr>
            <w:tcW w:w="1608" w:type="dxa"/>
            <w:noWrap w:val="0"/>
            <w:vAlign w:val="center"/>
          </w:tcPr>
          <w:p w14:paraId="7018AC2B">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1</w:t>
            </w:r>
          </w:p>
        </w:tc>
        <w:tc>
          <w:tcPr>
            <w:tcW w:w="2600" w:type="dxa"/>
            <w:noWrap w:val="0"/>
            <w:vAlign w:val="center"/>
          </w:tcPr>
          <w:p w14:paraId="34A9C69E">
            <w:pPr>
              <w:spacing w:line="500" w:lineRule="exact"/>
              <w:jc w:val="center"/>
              <w:rPr>
                <w:rFonts w:hint="eastAsia" w:ascii="宋体" w:hAnsi="宋体" w:cs="宋体"/>
                <w:color w:val="auto"/>
                <w:sz w:val="24"/>
                <w:highlight w:val="none"/>
              </w:rPr>
            </w:pPr>
          </w:p>
        </w:tc>
        <w:tc>
          <w:tcPr>
            <w:tcW w:w="2633" w:type="dxa"/>
            <w:noWrap w:val="0"/>
            <w:vAlign w:val="center"/>
          </w:tcPr>
          <w:p w14:paraId="61C2A07B">
            <w:pPr>
              <w:spacing w:line="500" w:lineRule="exact"/>
              <w:jc w:val="center"/>
              <w:rPr>
                <w:rFonts w:hint="eastAsia" w:ascii="宋体" w:hAnsi="宋体" w:cs="宋体"/>
                <w:color w:val="auto"/>
                <w:sz w:val="24"/>
                <w:highlight w:val="none"/>
              </w:rPr>
            </w:pPr>
          </w:p>
        </w:tc>
        <w:tc>
          <w:tcPr>
            <w:tcW w:w="1450" w:type="dxa"/>
            <w:noWrap w:val="0"/>
            <w:vAlign w:val="center"/>
          </w:tcPr>
          <w:p w14:paraId="276600F1">
            <w:pPr>
              <w:spacing w:line="500" w:lineRule="exact"/>
              <w:jc w:val="center"/>
              <w:rPr>
                <w:rFonts w:hint="eastAsia" w:ascii="宋体" w:hAnsi="宋体" w:cs="宋体"/>
                <w:color w:val="auto"/>
                <w:sz w:val="24"/>
                <w:highlight w:val="none"/>
              </w:rPr>
            </w:pPr>
          </w:p>
        </w:tc>
        <w:tc>
          <w:tcPr>
            <w:tcW w:w="1666" w:type="dxa"/>
            <w:noWrap w:val="0"/>
            <w:vAlign w:val="center"/>
          </w:tcPr>
          <w:p w14:paraId="53B04705">
            <w:pPr>
              <w:spacing w:line="500" w:lineRule="exact"/>
              <w:jc w:val="center"/>
              <w:rPr>
                <w:rFonts w:hint="eastAsia" w:ascii="宋体" w:hAnsi="宋体" w:cs="宋体"/>
                <w:color w:val="auto"/>
                <w:sz w:val="24"/>
                <w:highlight w:val="none"/>
              </w:rPr>
            </w:pPr>
          </w:p>
        </w:tc>
      </w:tr>
      <w:tr w14:paraId="7344B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1" w:hRule="atLeast"/>
          <w:jc w:val="center"/>
        </w:trPr>
        <w:tc>
          <w:tcPr>
            <w:tcW w:w="1608" w:type="dxa"/>
            <w:noWrap w:val="0"/>
            <w:vAlign w:val="center"/>
          </w:tcPr>
          <w:p w14:paraId="69D00910">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2</w:t>
            </w:r>
          </w:p>
        </w:tc>
        <w:tc>
          <w:tcPr>
            <w:tcW w:w="2600" w:type="dxa"/>
            <w:noWrap w:val="0"/>
            <w:vAlign w:val="center"/>
          </w:tcPr>
          <w:p w14:paraId="015CFE3C">
            <w:pPr>
              <w:spacing w:line="500" w:lineRule="exact"/>
              <w:jc w:val="center"/>
              <w:rPr>
                <w:rFonts w:hint="eastAsia" w:ascii="宋体" w:hAnsi="宋体" w:cs="宋体"/>
                <w:color w:val="auto"/>
                <w:sz w:val="24"/>
                <w:highlight w:val="none"/>
              </w:rPr>
            </w:pPr>
          </w:p>
        </w:tc>
        <w:tc>
          <w:tcPr>
            <w:tcW w:w="2633" w:type="dxa"/>
            <w:noWrap w:val="0"/>
            <w:vAlign w:val="center"/>
          </w:tcPr>
          <w:p w14:paraId="179049D8">
            <w:pPr>
              <w:spacing w:line="500" w:lineRule="exact"/>
              <w:jc w:val="center"/>
              <w:rPr>
                <w:rFonts w:hint="eastAsia" w:ascii="宋体" w:hAnsi="宋体" w:cs="宋体"/>
                <w:color w:val="auto"/>
                <w:sz w:val="24"/>
                <w:highlight w:val="none"/>
              </w:rPr>
            </w:pPr>
          </w:p>
        </w:tc>
        <w:tc>
          <w:tcPr>
            <w:tcW w:w="1450" w:type="dxa"/>
            <w:noWrap w:val="0"/>
            <w:vAlign w:val="center"/>
          </w:tcPr>
          <w:p w14:paraId="277E72D4">
            <w:pPr>
              <w:spacing w:line="500" w:lineRule="exact"/>
              <w:jc w:val="center"/>
              <w:rPr>
                <w:rFonts w:hint="eastAsia" w:ascii="宋体" w:hAnsi="宋体" w:cs="宋体"/>
                <w:color w:val="auto"/>
                <w:sz w:val="24"/>
                <w:highlight w:val="none"/>
              </w:rPr>
            </w:pPr>
          </w:p>
        </w:tc>
        <w:tc>
          <w:tcPr>
            <w:tcW w:w="1666" w:type="dxa"/>
            <w:noWrap w:val="0"/>
            <w:vAlign w:val="center"/>
          </w:tcPr>
          <w:p w14:paraId="413BB0E5">
            <w:pPr>
              <w:spacing w:line="500" w:lineRule="exact"/>
              <w:jc w:val="center"/>
              <w:rPr>
                <w:rFonts w:hint="eastAsia" w:ascii="宋体" w:hAnsi="宋体" w:cs="宋体"/>
                <w:color w:val="auto"/>
                <w:sz w:val="24"/>
                <w:highlight w:val="none"/>
              </w:rPr>
            </w:pPr>
          </w:p>
        </w:tc>
      </w:tr>
      <w:tr w14:paraId="1572E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1" w:hRule="atLeast"/>
          <w:jc w:val="center"/>
        </w:trPr>
        <w:tc>
          <w:tcPr>
            <w:tcW w:w="1608" w:type="dxa"/>
            <w:noWrap w:val="0"/>
            <w:vAlign w:val="center"/>
          </w:tcPr>
          <w:p w14:paraId="00085548">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3</w:t>
            </w:r>
          </w:p>
        </w:tc>
        <w:tc>
          <w:tcPr>
            <w:tcW w:w="2600" w:type="dxa"/>
            <w:noWrap w:val="0"/>
            <w:vAlign w:val="center"/>
          </w:tcPr>
          <w:p w14:paraId="685466B3">
            <w:pPr>
              <w:spacing w:line="500" w:lineRule="exact"/>
              <w:jc w:val="center"/>
              <w:rPr>
                <w:rFonts w:hint="eastAsia" w:ascii="宋体" w:hAnsi="宋体" w:cs="宋体"/>
                <w:color w:val="auto"/>
                <w:sz w:val="24"/>
                <w:highlight w:val="none"/>
              </w:rPr>
            </w:pPr>
          </w:p>
        </w:tc>
        <w:tc>
          <w:tcPr>
            <w:tcW w:w="2633" w:type="dxa"/>
            <w:noWrap w:val="0"/>
            <w:vAlign w:val="center"/>
          </w:tcPr>
          <w:p w14:paraId="3ACAA379">
            <w:pPr>
              <w:spacing w:line="500" w:lineRule="exact"/>
              <w:jc w:val="center"/>
              <w:rPr>
                <w:rFonts w:hint="eastAsia" w:ascii="宋体" w:hAnsi="宋体" w:cs="宋体"/>
                <w:color w:val="auto"/>
                <w:sz w:val="24"/>
                <w:highlight w:val="none"/>
              </w:rPr>
            </w:pPr>
          </w:p>
        </w:tc>
        <w:tc>
          <w:tcPr>
            <w:tcW w:w="1450" w:type="dxa"/>
            <w:noWrap w:val="0"/>
            <w:vAlign w:val="center"/>
          </w:tcPr>
          <w:p w14:paraId="05D6C2F4">
            <w:pPr>
              <w:spacing w:line="500" w:lineRule="exact"/>
              <w:jc w:val="center"/>
              <w:rPr>
                <w:rFonts w:hint="eastAsia" w:ascii="宋体" w:hAnsi="宋体" w:cs="宋体"/>
                <w:color w:val="auto"/>
                <w:sz w:val="24"/>
                <w:highlight w:val="none"/>
              </w:rPr>
            </w:pPr>
          </w:p>
        </w:tc>
        <w:tc>
          <w:tcPr>
            <w:tcW w:w="1666" w:type="dxa"/>
            <w:noWrap w:val="0"/>
            <w:vAlign w:val="center"/>
          </w:tcPr>
          <w:p w14:paraId="0CA2BB50">
            <w:pPr>
              <w:spacing w:line="500" w:lineRule="exact"/>
              <w:jc w:val="center"/>
              <w:rPr>
                <w:rFonts w:hint="eastAsia" w:ascii="宋体" w:hAnsi="宋体" w:cs="宋体"/>
                <w:color w:val="auto"/>
                <w:sz w:val="24"/>
                <w:highlight w:val="none"/>
              </w:rPr>
            </w:pPr>
          </w:p>
        </w:tc>
      </w:tr>
      <w:tr w14:paraId="72F90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1" w:hRule="atLeast"/>
          <w:jc w:val="center"/>
        </w:trPr>
        <w:tc>
          <w:tcPr>
            <w:tcW w:w="1608" w:type="dxa"/>
            <w:noWrap w:val="0"/>
            <w:vAlign w:val="center"/>
          </w:tcPr>
          <w:p w14:paraId="51ACCCBC">
            <w:pPr>
              <w:spacing w:line="500" w:lineRule="exact"/>
              <w:jc w:val="center"/>
              <w:rPr>
                <w:rFonts w:ascii="宋体" w:hAnsi="宋体" w:cs="宋体"/>
                <w:color w:val="auto"/>
                <w:sz w:val="24"/>
                <w:highlight w:val="none"/>
              </w:rPr>
            </w:pPr>
            <w:r>
              <w:rPr>
                <w:rFonts w:hint="eastAsia" w:ascii="宋体" w:hAnsi="宋体" w:cs="宋体"/>
                <w:color w:val="auto"/>
                <w:sz w:val="24"/>
                <w:highlight w:val="none"/>
              </w:rPr>
              <w:t>...</w:t>
            </w:r>
          </w:p>
        </w:tc>
        <w:tc>
          <w:tcPr>
            <w:tcW w:w="2600" w:type="dxa"/>
            <w:noWrap w:val="0"/>
            <w:vAlign w:val="center"/>
          </w:tcPr>
          <w:p w14:paraId="270C3D79">
            <w:pPr>
              <w:spacing w:line="500" w:lineRule="exact"/>
              <w:jc w:val="center"/>
              <w:rPr>
                <w:rFonts w:hint="eastAsia" w:ascii="宋体" w:hAnsi="宋体" w:cs="宋体"/>
                <w:color w:val="auto"/>
                <w:sz w:val="24"/>
                <w:highlight w:val="none"/>
              </w:rPr>
            </w:pPr>
          </w:p>
        </w:tc>
        <w:tc>
          <w:tcPr>
            <w:tcW w:w="2633" w:type="dxa"/>
            <w:noWrap w:val="0"/>
            <w:vAlign w:val="center"/>
          </w:tcPr>
          <w:p w14:paraId="1D566573">
            <w:pPr>
              <w:spacing w:line="500" w:lineRule="exact"/>
              <w:jc w:val="center"/>
              <w:rPr>
                <w:rFonts w:hint="eastAsia" w:ascii="宋体" w:hAnsi="宋体" w:cs="宋体"/>
                <w:color w:val="auto"/>
                <w:sz w:val="24"/>
                <w:highlight w:val="none"/>
              </w:rPr>
            </w:pPr>
          </w:p>
        </w:tc>
        <w:tc>
          <w:tcPr>
            <w:tcW w:w="1450" w:type="dxa"/>
            <w:noWrap w:val="0"/>
            <w:vAlign w:val="center"/>
          </w:tcPr>
          <w:p w14:paraId="66611D63">
            <w:pPr>
              <w:spacing w:line="500" w:lineRule="exact"/>
              <w:jc w:val="center"/>
              <w:rPr>
                <w:rFonts w:hint="eastAsia" w:ascii="宋体" w:hAnsi="宋体" w:cs="宋体"/>
                <w:color w:val="auto"/>
                <w:sz w:val="24"/>
                <w:highlight w:val="none"/>
              </w:rPr>
            </w:pPr>
          </w:p>
        </w:tc>
        <w:tc>
          <w:tcPr>
            <w:tcW w:w="1666" w:type="dxa"/>
            <w:noWrap w:val="0"/>
            <w:vAlign w:val="center"/>
          </w:tcPr>
          <w:p w14:paraId="056B3255">
            <w:pPr>
              <w:spacing w:line="500" w:lineRule="exact"/>
              <w:jc w:val="center"/>
              <w:rPr>
                <w:rFonts w:hint="eastAsia" w:ascii="宋体" w:hAnsi="宋体" w:cs="宋体"/>
                <w:color w:val="auto"/>
                <w:sz w:val="24"/>
                <w:highlight w:val="none"/>
              </w:rPr>
            </w:pPr>
          </w:p>
        </w:tc>
      </w:tr>
    </w:tbl>
    <w:p w14:paraId="30A8ABB2">
      <w:pPr>
        <w:spacing w:line="480" w:lineRule="auto"/>
        <w:rPr>
          <w:rFonts w:hint="eastAsia" w:ascii="宋体" w:hAnsi="宋体" w:cs="宋体"/>
          <w:b/>
          <w:bCs/>
          <w:color w:val="auto"/>
          <w:szCs w:val="21"/>
          <w:highlight w:val="none"/>
        </w:rPr>
      </w:pPr>
    </w:p>
    <w:p w14:paraId="0FD1D160">
      <w:pPr>
        <w:spacing w:line="48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注：参选人提交的参选文件中与比选文件的商务条款有不同时，应逐条列在偏离表中；与比选文件的商务条款无不同时，须在表中标明“无偏离” ，并将认为参选人接受比选文件的要求。若参选人不按上述表格填写，所产生的一切后果由参选人承担。</w:t>
      </w:r>
    </w:p>
    <w:p w14:paraId="39534C37">
      <w:pPr>
        <w:pStyle w:val="21"/>
        <w:rPr>
          <w:rFonts w:hint="eastAsia" w:hAnsi="宋体" w:cs="宋体"/>
          <w:color w:val="auto"/>
          <w:sz w:val="24"/>
          <w:szCs w:val="24"/>
          <w:highlight w:val="none"/>
        </w:rPr>
      </w:pPr>
    </w:p>
    <w:p w14:paraId="79411FD0">
      <w:pPr>
        <w:pStyle w:val="21"/>
        <w:rPr>
          <w:rFonts w:hint="eastAsia" w:hAnsi="宋体" w:cs="宋体"/>
          <w:color w:val="auto"/>
          <w:sz w:val="24"/>
          <w:szCs w:val="24"/>
          <w:highlight w:val="none"/>
        </w:rPr>
      </w:pPr>
    </w:p>
    <w:p w14:paraId="50FCA950">
      <w:pPr>
        <w:spacing w:line="480" w:lineRule="auto"/>
        <w:jc w:val="right"/>
        <w:rPr>
          <w:rFonts w:hint="eastAsia" w:ascii="宋体" w:hAnsi="宋体" w:cs="宋体"/>
          <w:color w:val="auto"/>
          <w:sz w:val="24"/>
          <w:highlight w:val="none"/>
        </w:rPr>
      </w:pPr>
      <w:r>
        <w:rPr>
          <w:rFonts w:hint="eastAsia" w:ascii="宋体" w:hAnsi="宋体" w:cs="宋体"/>
          <w:color w:val="auto"/>
          <w:sz w:val="24"/>
          <w:highlight w:val="none"/>
        </w:rPr>
        <w:t xml:space="preserve">参选人：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（盖单位章）</w:t>
      </w:r>
    </w:p>
    <w:p w14:paraId="76E23413">
      <w:pPr>
        <w:spacing w:line="480" w:lineRule="auto"/>
        <w:jc w:val="right"/>
        <w:rPr>
          <w:rFonts w:hint="eastAsia" w:ascii="宋体" w:hAnsi="宋体" w:cs="宋体"/>
          <w:color w:val="auto"/>
          <w:sz w:val="24"/>
          <w:highlight w:val="none"/>
        </w:rPr>
      </w:pPr>
      <w:r>
        <w:rPr>
          <w:rFonts w:hint="eastAsia" w:ascii="宋体" w:hAnsi="宋体" w:cs="宋体"/>
          <w:color w:val="auto"/>
          <w:sz w:val="24"/>
          <w:highlight w:val="none"/>
        </w:rPr>
        <w:t xml:space="preserve">法定代表人或委托代理人：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（签字或盖章）</w:t>
      </w:r>
    </w:p>
    <w:p w14:paraId="533EC510">
      <w:pPr>
        <w:spacing w:line="480" w:lineRule="auto"/>
        <w:jc w:val="right"/>
        <w:rPr>
          <w:rFonts w:hint="eastAsia" w:ascii="宋体" w:hAnsi="宋体" w:cs="宋体"/>
          <w:color w:val="auto"/>
          <w:sz w:val="24"/>
          <w:highlight w:val="none"/>
        </w:rPr>
      </w:pPr>
      <w:r>
        <w:rPr>
          <w:rFonts w:hint="eastAsia" w:ascii="宋体" w:hAnsi="宋体" w:cs="宋体"/>
          <w:color w:val="auto"/>
          <w:sz w:val="24"/>
          <w:highlight w:val="none"/>
        </w:rPr>
        <w:t>日期：   年    月    日</w:t>
      </w:r>
    </w:p>
    <w:p w14:paraId="2AA86A95">
      <w:pPr>
        <w:pStyle w:val="3"/>
        <w:bidi w:val="0"/>
        <w:rPr>
          <w:rFonts w:hint="eastAsia"/>
          <w:color w:val="auto"/>
          <w:highlight w:val="none"/>
        </w:rPr>
      </w:pPr>
      <w:bookmarkStart w:id="71" w:name="_Toc6794"/>
      <w:r>
        <w:rPr>
          <w:rFonts w:hint="eastAsia"/>
          <w:color w:val="auto"/>
          <w:highlight w:val="none"/>
        </w:rPr>
        <w:t>7、资格证明文件</w:t>
      </w:r>
      <w:bookmarkEnd w:id="71"/>
    </w:p>
    <w:p w14:paraId="7AC8F091">
      <w:pPr>
        <w:ind w:firstLine="480" w:firstLineChars="200"/>
        <w:jc w:val="left"/>
        <w:rPr>
          <w:rFonts w:hint="eastAsia" w:ascii="宋体" w:hAnsi="宋体" w:cs="宋体"/>
          <w:color w:val="auto"/>
          <w:sz w:val="24"/>
          <w:highlight w:val="none"/>
        </w:rPr>
      </w:pPr>
    </w:p>
    <w:p w14:paraId="15D2A580">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参与本项目参选的参选人提交的证明文件应能够证明自己有资格参加参选，并说明中选后具备履行合同的能力。确保下述证明文件的真实性、有效性及合法性，否则，由此引起的任何责任都由参选人自行承担。所有复印件或扫描件必须加盖公章。</w:t>
      </w:r>
    </w:p>
    <w:p w14:paraId="4437A014">
      <w:pPr>
        <w:jc w:val="left"/>
        <w:rPr>
          <w:rFonts w:hint="eastAsia" w:ascii="宋体" w:hAnsi="宋体" w:cs="宋体"/>
          <w:color w:val="auto"/>
          <w:sz w:val="24"/>
          <w:highlight w:val="none"/>
        </w:rPr>
      </w:pPr>
    </w:p>
    <w:p w14:paraId="171218ED">
      <w:pP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 xml:space="preserve">7.1 </w:t>
      </w:r>
      <w:r>
        <w:rPr>
          <w:rFonts w:hint="eastAsia" w:ascii="宋体" w:hAnsi="宋体" w:cs="宋体"/>
          <w:color w:val="auto"/>
          <w:sz w:val="24"/>
          <w:highlight w:val="none"/>
          <w:lang w:eastAsia="zh-CN"/>
        </w:rPr>
        <w:t>具有独立承担民事责任的法人或其他组织</w:t>
      </w:r>
      <w:r>
        <w:rPr>
          <w:rFonts w:hint="eastAsia" w:ascii="宋体" w:hAnsi="宋体" w:cs="宋体"/>
          <w:color w:val="auto"/>
          <w:sz w:val="24"/>
          <w:highlight w:val="none"/>
        </w:rPr>
        <w:t>；</w:t>
      </w:r>
    </w:p>
    <w:p w14:paraId="4184E650">
      <w:pP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7.2 具有良好的商业信誉和健全的财务会计制度；</w:t>
      </w:r>
    </w:p>
    <w:p w14:paraId="28DC8889">
      <w:pP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7.3 具有履行合同所必需的设备和专业技术能力；</w:t>
      </w:r>
    </w:p>
    <w:p w14:paraId="1254EF02">
      <w:pP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7.4 有依法缴纳税收和社会保障资金的良好记录；</w:t>
      </w:r>
    </w:p>
    <w:p w14:paraId="75904A41">
      <w:pP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7.5 参加比选活动前三年内，在经营活动中没有重大违法记录；</w:t>
      </w:r>
    </w:p>
    <w:p w14:paraId="656E832F">
      <w:pPr>
        <w:spacing w:line="360" w:lineRule="auto"/>
        <w:jc w:val="left"/>
        <w:rPr>
          <w:rFonts w:hint="eastAsia" w:ascii="宋体" w:hAnsi="宋体" w:cs="宋体"/>
          <w:color w:val="auto"/>
          <w:highlight w:val="none"/>
        </w:rPr>
      </w:pPr>
      <w:r>
        <w:rPr>
          <w:rFonts w:hint="eastAsia" w:ascii="宋体" w:hAnsi="宋体" w:cs="宋体"/>
          <w:color w:val="auto"/>
          <w:sz w:val="24"/>
          <w:highlight w:val="none"/>
        </w:rPr>
        <w:t>7.6</w:t>
      </w:r>
      <w:r>
        <w:rPr>
          <w:rFonts w:hint="eastAsia" w:ascii="宋体" w:hAnsi="宋体" w:cs="宋体"/>
          <w:color w:val="auto"/>
          <w:sz w:val="24"/>
          <w:highlight w:val="none"/>
          <w:lang w:eastAsia="zh-CN"/>
        </w:rPr>
        <w:t>参选保证金</w:t>
      </w:r>
      <w:r>
        <w:rPr>
          <w:rFonts w:hint="eastAsia" w:ascii="宋体" w:hAnsi="宋体" w:cs="宋体"/>
          <w:color w:val="auto"/>
          <w:sz w:val="24"/>
          <w:highlight w:val="none"/>
        </w:rPr>
        <w:t>缴纳情况（该项网上查询打印纸质材料加盖公章可作原件使用）；</w:t>
      </w:r>
    </w:p>
    <w:p w14:paraId="334407E7">
      <w:pP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7.7 法律、行政法规规定的其他条件：</w:t>
      </w:r>
    </w:p>
    <w:p w14:paraId="6F0CBA27">
      <w:pP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7.7.1提供法定代表人授权委托书（或法定代表人证明资料）原件及被授权人（或法定代表人）身份证；</w:t>
      </w:r>
    </w:p>
    <w:p w14:paraId="4EBEC9DF">
      <w:pP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7.7.2通过“信用中国”网站-信用服务查询相关主体信用记录，被列入失信被执行人、政府采购严重违法失信行为记录名单（处罚期限尚未届满的）、重大税收违法失信主体的参选人和通过中国政府采购网查询相关主体信用记录，被列入政府采购严重违法失信行为记录名单（处罚期限尚未届满的）的参选人，不得参与本项目的比选活动；</w:t>
      </w:r>
    </w:p>
    <w:p w14:paraId="44A815D1">
      <w:pP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7.7.3单位负责人为同一人或者存在直接控股、管理关系的不同参选人，不得参加同一合同项下的比选活动；</w:t>
      </w:r>
    </w:p>
    <w:p w14:paraId="0146ACED">
      <w:pP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7.7.4本项目不接受联合体参选。</w:t>
      </w:r>
    </w:p>
    <w:p w14:paraId="3B4B9836">
      <w:pPr>
        <w:pStyle w:val="14"/>
        <w:rPr>
          <w:rFonts w:hint="eastAsia" w:ascii="宋体" w:hAnsi="宋体" w:cs="宋体"/>
          <w:color w:val="auto"/>
          <w:highlight w:val="none"/>
        </w:rPr>
      </w:pPr>
    </w:p>
    <w:p w14:paraId="1F83ABFD">
      <w:pPr>
        <w:jc w:val="center"/>
        <w:rPr>
          <w:rFonts w:hint="eastAsia" w:ascii="宋体" w:hAnsi="宋体" w:cs="宋体"/>
          <w:color w:val="auto"/>
          <w:sz w:val="24"/>
          <w:highlight w:val="none"/>
        </w:rPr>
      </w:pPr>
    </w:p>
    <w:p w14:paraId="00805420">
      <w:pPr>
        <w:bidi w:val="0"/>
        <w:rPr>
          <w:rFonts w:hint="eastAsia"/>
          <w:color w:val="auto"/>
          <w:highlight w:val="none"/>
        </w:rPr>
      </w:pPr>
    </w:p>
    <w:p w14:paraId="5DB99EF3">
      <w:pPr>
        <w:jc w:val="center"/>
        <w:rPr>
          <w:rFonts w:hint="eastAsia" w:ascii="宋体" w:hAnsi="宋体" w:cs="宋体"/>
          <w:color w:val="auto"/>
          <w:sz w:val="24"/>
          <w:highlight w:val="none"/>
        </w:rPr>
      </w:pPr>
    </w:p>
    <w:p w14:paraId="60AC2738">
      <w:pPr>
        <w:jc w:val="center"/>
        <w:rPr>
          <w:rFonts w:hint="eastAsia" w:ascii="宋体" w:hAnsi="宋体" w:cs="宋体"/>
          <w:color w:val="auto"/>
          <w:sz w:val="24"/>
          <w:highlight w:val="none"/>
        </w:rPr>
      </w:pPr>
    </w:p>
    <w:p w14:paraId="24C74CF1">
      <w:pPr>
        <w:pStyle w:val="21"/>
        <w:rPr>
          <w:rFonts w:hint="eastAsia" w:hAnsi="宋体" w:cs="宋体"/>
          <w:color w:val="auto"/>
          <w:sz w:val="24"/>
          <w:szCs w:val="24"/>
          <w:highlight w:val="none"/>
        </w:rPr>
      </w:pPr>
    </w:p>
    <w:p w14:paraId="3E12326B">
      <w:pPr>
        <w:pStyle w:val="21"/>
        <w:rPr>
          <w:rFonts w:hint="eastAsia" w:hAnsi="宋体" w:cs="宋体"/>
          <w:color w:val="auto"/>
          <w:sz w:val="24"/>
          <w:szCs w:val="24"/>
          <w:highlight w:val="none"/>
        </w:rPr>
      </w:pPr>
    </w:p>
    <w:p w14:paraId="7B8E5A37">
      <w:pPr>
        <w:jc w:val="center"/>
        <w:rPr>
          <w:rFonts w:hint="eastAsia" w:ascii="宋体" w:hAnsi="宋体" w:eastAsia="宋体" w:cs="宋体"/>
          <w:color w:val="auto"/>
          <w:sz w:val="28"/>
          <w:szCs w:val="28"/>
          <w:highlight w:val="none"/>
          <w:lang w:eastAsia="zh-CN"/>
        </w:rPr>
      </w:pPr>
      <w:r>
        <w:rPr>
          <w:rFonts w:hint="eastAsia" w:ascii="宋体" w:hAnsi="宋体" w:cs="宋体"/>
          <w:color w:val="auto"/>
          <w:sz w:val="28"/>
          <w:szCs w:val="28"/>
          <w:highlight w:val="none"/>
        </w:rPr>
        <w:t>7.1</w:t>
      </w:r>
      <w:r>
        <w:rPr>
          <w:rFonts w:hint="eastAsia" w:ascii="宋体" w:hAnsi="宋体" w:cs="宋体"/>
          <w:color w:val="auto"/>
          <w:sz w:val="28"/>
          <w:szCs w:val="28"/>
          <w:highlight w:val="none"/>
          <w:lang w:eastAsia="zh-CN"/>
        </w:rPr>
        <w:t>具有独立承担民事责任的法人或其他组织</w:t>
      </w:r>
    </w:p>
    <w:p w14:paraId="4582EC11">
      <w:pPr>
        <w:jc w:val="center"/>
        <w:rPr>
          <w:rFonts w:hint="eastAsia" w:ascii="宋体" w:hAnsi="宋体" w:cs="宋体"/>
          <w:color w:val="auto"/>
          <w:sz w:val="24"/>
          <w:highlight w:val="none"/>
        </w:rPr>
      </w:pPr>
    </w:p>
    <w:p w14:paraId="06A1BA86">
      <w:pPr>
        <w:jc w:val="center"/>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b/>
          <w:bCs/>
          <w:color w:val="auto"/>
          <w:sz w:val="24"/>
          <w:highlight w:val="none"/>
        </w:rPr>
        <w:t>提供参选人的合格的营业执照、税务登记证、组织机构代码证（三证合一的只须提供营业执照副本复印件加盖公章，原件备查。</w:t>
      </w:r>
      <w:r>
        <w:rPr>
          <w:rFonts w:hint="eastAsia" w:ascii="宋体" w:hAnsi="宋体" w:cs="宋体"/>
          <w:color w:val="auto"/>
          <w:sz w:val="24"/>
          <w:highlight w:val="none"/>
        </w:rPr>
        <w:t>】</w:t>
      </w:r>
    </w:p>
    <w:p w14:paraId="62279103">
      <w:pPr>
        <w:jc w:val="center"/>
        <w:rPr>
          <w:rFonts w:hint="eastAsia" w:ascii="宋体" w:hAnsi="宋体" w:cs="宋体"/>
          <w:color w:val="auto"/>
          <w:sz w:val="24"/>
          <w:highlight w:val="none"/>
        </w:rPr>
      </w:pPr>
    </w:p>
    <w:p w14:paraId="31D40154">
      <w:pPr>
        <w:jc w:val="center"/>
        <w:rPr>
          <w:rFonts w:hint="eastAsia" w:ascii="宋体" w:hAnsi="宋体" w:cs="宋体"/>
          <w:color w:val="auto"/>
          <w:sz w:val="24"/>
          <w:highlight w:val="none"/>
        </w:rPr>
      </w:pPr>
    </w:p>
    <w:p w14:paraId="27DD9FEC">
      <w:pPr>
        <w:jc w:val="center"/>
        <w:rPr>
          <w:rFonts w:hint="eastAsia" w:ascii="宋体" w:hAnsi="宋体" w:cs="宋体"/>
          <w:color w:val="auto"/>
          <w:sz w:val="24"/>
          <w:highlight w:val="none"/>
        </w:rPr>
      </w:pPr>
    </w:p>
    <w:p w14:paraId="5CB65C6E">
      <w:pPr>
        <w:jc w:val="center"/>
        <w:rPr>
          <w:rFonts w:hint="eastAsia" w:ascii="宋体" w:hAnsi="宋体" w:cs="宋体"/>
          <w:color w:val="auto"/>
          <w:sz w:val="24"/>
          <w:highlight w:val="none"/>
        </w:rPr>
      </w:pPr>
    </w:p>
    <w:p w14:paraId="3D8E36EA">
      <w:pPr>
        <w:jc w:val="center"/>
        <w:rPr>
          <w:rFonts w:hint="eastAsia" w:ascii="宋体" w:hAnsi="宋体" w:cs="宋体"/>
          <w:color w:val="auto"/>
          <w:sz w:val="24"/>
          <w:highlight w:val="none"/>
        </w:rPr>
      </w:pPr>
    </w:p>
    <w:p w14:paraId="406BE0AB">
      <w:pPr>
        <w:jc w:val="center"/>
        <w:rPr>
          <w:rFonts w:hint="eastAsia" w:ascii="宋体" w:hAnsi="宋体" w:cs="宋体"/>
          <w:color w:val="auto"/>
          <w:sz w:val="24"/>
          <w:highlight w:val="none"/>
        </w:rPr>
      </w:pPr>
    </w:p>
    <w:p w14:paraId="3AA218FA">
      <w:pPr>
        <w:jc w:val="center"/>
        <w:rPr>
          <w:rFonts w:hint="eastAsia" w:ascii="宋体" w:hAnsi="宋体" w:cs="宋体"/>
          <w:color w:val="auto"/>
          <w:sz w:val="24"/>
          <w:highlight w:val="none"/>
        </w:rPr>
      </w:pPr>
    </w:p>
    <w:p w14:paraId="0BA1D5B7">
      <w:pPr>
        <w:jc w:val="center"/>
        <w:rPr>
          <w:rFonts w:hint="eastAsia" w:ascii="宋体" w:hAnsi="宋体" w:cs="宋体"/>
          <w:color w:val="auto"/>
          <w:sz w:val="24"/>
          <w:highlight w:val="none"/>
        </w:rPr>
      </w:pPr>
    </w:p>
    <w:p w14:paraId="0495204D">
      <w:pPr>
        <w:jc w:val="center"/>
        <w:rPr>
          <w:rFonts w:hint="eastAsia" w:ascii="宋体" w:hAnsi="宋体" w:cs="宋体"/>
          <w:color w:val="auto"/>
          <w:sz w:val="24"/>
          <w:highlight w:val="none"/>
        </w:rPr>
      </w:pPr>
    </w:p>
    <w:p w14:paraId="2FFE893D">
      <w:pPr>
        <w:jc w:val="center"/>
        <w:rPr>
          <w:rFonts w:hint="eastAsia" w:ascii="宋体" w:hAnsi="宋体" w:cs="宋体"/>
          <w:color w:val="auto"/>
          <w:sz w:val="24"/>
          <w:highlight w:val="none"/>
        </w:rPr>
      </w:pPr>
    </w:p>
    <w:p w14:paraId="2E01A08A">
      <w:pPr>
        <w:jc w:val="center"/>
        <w:rPr>
          <w:rFonts w:hint="eastAsia" w:ascii="宋体" w:hAnsi="宋体" w:cs="宋体"/>
          <w:color w:val="auto"/>
          <w:sz w:val="24"/>
          <w:highlight w:val="none"/>
        </w:rPr>
      </w:pPr>
    </w:p>
    <w:p w14:paraId="5CFD4121">
      <w:pPr>
        <w:jc w:val="center"/>
        <w:rPr>
          <w:rFonts w:hint="eastAsia" w:ascii="宋体" w:hAnsi="宋体" w:cs="宋体"/>
          <w:color w:val="auto"/>
          <w:sz w:val="24"/>
          <w:highlight w:val="none"/>
        </w:rPr>
      </w:pPr>
    </w:p>
    <w:p w14:paraId="258B59B1">
      <w:pPr>
        <w:jc w:val="center"/>
        <w:rPr>
          <w:rFonts w:hint="eastAsia" w:ascii="宋体" w:hAnsi="宋体" w:cs="宋体"/>
          <w:color w:val="auto"/>
          <w:sz w:val="24"/>
          <w:highlight w:val="none"/>
        </w:rPr>
      </w:pPr>
    </w:p>
    <w:p w14:paraId="6FE1E0F7">
      <w:pPr>
        <w:jc w:val="center"/>
        <w:rPr>
          <w:rFonts w:hint="eastAsia" w:ascii="宋体" w:hAnsi="宋体" w:cs="宋体"/>
          <w:color w:val="auto"/>
          <w:sz w:val="24"/>
          <w:highlight w:val="none"/>
        </w:rPr>
      </w:pPr>
    </w:p>
    <w:p w14:paraId="37742D8E">
      <w:pPr>
        <w:jc w:val="center"/>
        <w:rPr>
          <w:rFonts w:hint="eastAsia" w:ascii="宋体" w:hAnsi="宋体" w:cs="宋体"/>
          <w:color w:val="auto"/>
          <w:sz w:val="24"/>
          <w:highlight w:val="none"/>
        </w:rPr>
      </w:pPr>
    </w:p>
    <w:p w14:paraId="4FD965F0">
      <w:pPr>
        <w:jc w:val="center"/>
        <w:rPr>
          <w:rFonts w:hint="eastAsia" w:ascii="宋体" w:hAnsi="宋体" w:cs="宋体"/>
          <w:color w:val="auto"/>
          <w:sz w:val="24"/>
          <w:highlight w:val="none"/>
        </w:rPr>
      </w:pPr>
    </w:p>
    <w:p w14:paraId="431DF417">
      <w:pPr>
        <w:jc w:val="center"/>
        <w:rPr>
          <w:rFonts w:hint="eastAsia" w:ascii="宋体" w:hAnsi="宋体" w:cs="宋体"/>
          <w:color w:val="auto"/>
          <w:sz w:val="24"/>
          <w:highlight w:val="none"/>
        </w:rPr>
      </w:pPr>
    </w:p>
    <w:p w14:paraId="7541AD3C">
      <w:pPr>
        <w:jc w:val="center"/>
        <w:rPr>
          <w:rFonts w:hint="eastAsia" w:ascii="宋体" w:hAnsi="宋体" w:cs="宋体"/>
          <w:color w:val="auto"/>
          <w:sz w:val="24"/>
          <w:highlight w:val="none"/>
        </w:rPr>
      </w:pPr>
    </w:p>
    <w:p w14:paraId="61FC97B6">
      <w:pPr>
        <w:jc w:val="center"/>
        <w:rPr>
          <w:rFonts w:hint="eastAsia" w:ascii="宋体" w:hAnsi="宋体" w:cs="宋体"/>
          <w:color w:val="auto"/>
          <w:sz w:val="24"/>
          <w:highlight w:val="none"/>
        </w:rPr>
      </w:pPr>
    </w:p>
    <w:p w14:paraId="7B02D4DF">
      <w:pPr>
        <w:jc w:val="center"/>
        <w:rPr>
          <w:rFonts w:hint="eastAsia" w:ascii="宋体" w:hAnsi="宋体" w:cs="宋体"/>
          <w:color w:val="auto"/>
          <w:sz w:val="24"/>
          <w:highlight w:val="none"/>
        </w:rPr>
      </w:pPr>
    </w:p>
    <w:p w14:paraId="19963361">
      <w:pPr>
        <w:pStyle w:val="21"/>
        <w:rPr>
          <w:rFonts w:hint="eastAsia" w:hAnsi="宋体" w:cs="宋体"/>
          <w:color w:val="auto"/>
          <w:sz w:val="24"/>
          <w:szCs w:val="24"/>
          <w:highlight w:val="none"/>
        </w:rPr>
      </w:pPr>
    </w:p>
    <w:p w14:paraId="5906A8D1">
      <w:pPr>
        <w:pStyle w:val="21"/>
        <w:rPr>
          <w:rFonts w:hint="eastAsia" w:hAnsi="宋体" w:cs="宋体"/>
          <w:color w:val="auto"/>
          <w:sz w:val="24"/>
          <w:szCs w:val="24"/>
          <w:highlight w:val="none"/>
        </w:rPr>
      </w:pPr>
    </w:p>
    <w:p w14:paraId="6EB08A76">
      <w:pPr>
        <w:pStyle w:val="21"/>
        <w:rPr>
          <w:rFonts w:hint="eastAsia" w:hAnsi="宋体" w:cs="宋体"/>
          <w:color w:val="auto"/>
          <w:sz w:val="24"/>
          <w:szCs w:val="24"/>
          <w:highlight w:val="none"/>
        </w:rPr>
      </w:pPr>
    </w:p>
    <w:p w14:paraId="3A43A54D">
      <w:pPr>
        <w:pStyle w:val="21"/>
        <w:rPr>
          <w:rFonts w:hint="eastAsia" w:hAnsi="宋体" w:cs="宋体"/>
          <w:color w:val="auto"/>
          <w:sz w:val="24"/>
          <w:szCs w:val="24"/>
          <w:highlight w:val="none"/>
        </w:rPr>
      </w:pPr>
    </w:p>
    <w:p w14:paraId="37561F42">
      <w:pPr>
        <w:pStyle w:val="21"/>
        <w:rPr>
          <w:rFonts w:hint="eastAsia" w:hAnsi="宋体" w:cs="宋体"/>
          <w:color w:val="auto"/>
          <w:sz w:val="24"/>
          <w:szCs w:val="24"/>
          <w:highlight w:val="none"/>
        </w:rPr>
      </w:pPr>
    </w:p>
    <w:p w14:paraId="0845FBA7">
      <w:pPr>
        <w:pStyle w:val="21"/>
        <w:rPr>
          <w:rFonts w:hint="eastAsia" w:hAnsi="宋体" w:cs="宋体"/>
          <w:color w:val="auto"/>
          <w:sz w:val="24"/>
          <w:szCs w:val="24"/>
          <w:highlight w:val="none"/>
        </w:rPr>
      </w:pPr>
    </w:p>
    <w:p w14:paraId="26F9F14B">
      <w:pPr>
        <w:pStyle w:val="21"/>
        <w:rPr>
          <w:rFonts w:hint="eastAsia" w:hAnsi="宋体" w:cs="宋体"/>
          <w:color w:val="auto"/>
          <w:sz w:val="24"/>
          <w:szCs w:val="24"/>
          <w:highlight w:val="none"/>
        </w:rPr>
      </w:pPr>
    </w:p>
    <w:p w14:paraId="538D2170">
      <w:pPr>
        <w:jc w:val="center"/>
        <w:rPr>
          <w:rFonts w:hint="eastAsia" w:ascii="宋体" w:hAnsi="宋体" w:cs="宋体"/>
          <w:color w:val="auto"/>
          <w:sz w:val="28"/>
          <w:szCs w:val="28"/>
          <w:highlight w:val="none"/>
        </w:rPr>
      </w:pPr>
    </w:p>
    <w:p w14:paraId="4009EC90">
      <w:pPr>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br w:type="page"/>
      </w:r>
      <w:r>
        <w:rPr>
          <w:rFonts w:hint="eastAsia" w:ascii="宋体" w:hAnsi="宋体" w:cs="宋体"/>
          <w:color w:val="auto"/>
          <w:sz w:val="28"/>
          <w:szCs w:val="28"/>
          <w:highlight w:val="none"/>
        </w:rPr>
        <w:t>7.2具有良好的商业信誉和健全的财务会计制度</w:t>
      </w:r>
    </w:p>
    <w:p w14:paraId="25C84AB5">
      <w:pPr>
        <w:jc w:val="center"/>
        <w:rPr>
          <w:rFonts w:hint="eastAsia" w:ascii="宋体" w:hAnsi="宋体" w:cs="宋体"/>
          <w:color w:val="auto"/>
          <w:sz w:val="24"/>
          <w:highlight w:val="none"/>
        </w:rPr>
      </w:pPr>
    </w:p>
    <w:p w14:paraId="661A502B">
      <w:pPr>
        <w:jc w:val="center"/>
        <w:rPr>
          <w:rFonts w:hint="eastAsia" w:ascii="宋体" w:hAnsi="宋体" w:cs="宋体"/>
          <w:b/>
          <w:bCs/>
          <w:color w:val="auto"/>
          <w:sz w:val="24"/>
          <w:highlight w:val="none"/>
        </w:rPr>
      </w:pPr>
      <w:r>
        <w:rPr>
          <w:rFonts w:hint="eastAsia" w:ascii="宋体" w:hAnsi="宋体" w:cs="宋体"/>
          <w:color w:val="auto"/>
          <w:sz w:val="24"/>
          <w:highlight w:val="none"/>
        </w:rPr>
        <w:t>【</w:t>
      </w:r>
      <w:r>
        <w:rPr>
          <w:rFonts w:hint="eastAsia" w:ascii="宋体" w:hAnsi="宋体" w:cs="宋体"/>
          <w:b/>
          <w:bCs/>
          <w:color w:val="auto"/>
          <w:sz w:val="24"/>
          <w:highlight w:val="none"/>
        </w:rPr>
        <w:t>提供202</w:t>
      </w:r>
      <w:r>
        <w:rPr>
          <w:rFonts w:hint="eastAsia" w:ascii="宋体" w:hAnsi="宋体" w:cs="宋体"/>
          <w:b/>
          <w:bCs/>
          <w:color w:val="auto"/>
          <w:sz w:val="24"/>
          <w:highlight w:val="none"/>
          <w:lang w:val="en-US" w:eastAsia="zh-CN"/>
        </w:rPr>
        <w:t>3</w:t>
      </w:r>
      <w:r>
        <w:rPr>
          <w:rFonts w:hint="eastAsia" w:ascii="宋体" w:hAnsi="宋体" w:cs="宋体"/>
          <w:b/>
          <w:bCs/>
          <w:color w:val="auto"/>
          <w:sz w:val="24"/>
          <w:highlight w:val="none"/>
        </w:rPr>
        <w:t>年（或202</w:t>
      </w:r>
      <w:r>
        <w:rPr>
          <w:rFonts w:hint="eastAsia" w:ascii="宋体" w:hAnsi="宋体" w:cs="宋体"/>
          <w:b/>
          <w:bCs/>
          <w:color w:val="auto"/>
          <w:sz w:val="24"/>
          <w:highlight w:val="none"/>
          <w:lang w:val="en-US" w:eastAsia="zh-CN"/>
        </w:rPr>
        <w:t>4</w:t>
      </w:r>
      <w:r>
        <w:rPr>
          <w:rFonts w:hint="eastAsia" w:ascii="宋体" w:hAnsi="宋体" w:cs="宋体"/>
          <w:b/>
          <w:bCs/>
          <w:color w:val="auto"/>
          <w:sz w:val="24"/>
          <w:highlight w:val="none"/>
        </w:rPr>
        <w:t>年）度经会计师事务所出具的财务审计报告或基本开户行出具的银行资信证明复印件加盖公章或提供承诺函（详见7.2.1）】</w:t>
      </w:r>
    </w:p>
    <w:p w14:paraId="7EE8EADD">
      <w:pPr>
        <w:jc w:val="center"/>
        <w:rPr>
          <w:rFonts w:hint="eastAsia" w:ascii="宋体" w:hAnsi="宋体" w:cs="宋体"/>
          <w:color w:val="auto"/>
          <w:sz w:val="24"/>
          <w:highlight w:val="none"/>
        </w:rPr>
      </w:pPr>
    </w:p>
    <w:p w14:paraId="77745A98">
      <w:pPr>
        <w:jc w:val="center"/>
        <w:rPr>
          <w:rFonts w:hint="eastAsia" w:ascii="宋体" w:hAnsi="宋体" w:cs="宋体"/>
          <w:color w:val="auto"/>
          <w:sz w:val="24"/>
          <w:highlight w:val="none"/>
        </w:rPr>
      </w:pPr>
    </w:p>
    <w:p w14:paraId="789A5316">
      <w:pPr>
        <w:jc w:val="center"/>
        <w:rPr>
          <w:rFonts w:hint="eastAsia" w:ascii="宋体" w:hAnsi="宋体" w:cs="宋体"/>
          <w:color w:val="auto"/>
          <w:sz w:val="24"/>
          <w:highlight w:val="none"/>
        </w:rPr>
      </w:pPr>
    </w:p>
    <w:p w14:paraId="6892B185">
      <w:pPr>
        <w:spacing w:before="94" w:line="224" w:lineRule="auto"/>
        <w:jc w:val="center"/>
        <w:rPr>
          <w:rFonts w:hint="eastAsia" w:ascii="宋体" w:hAnsi="宋体" w:cs="宋体"/>
          <w:color w:val="auto"/>
          <w:sz w:val="30"/>
          <w:szCs w:val="30"/>
          <w:highlight w:val="none"/>
        </w:rPr>
      </w:pPr>
      <w:r>
        <w:rPr>
          <w:rFonts w:hint="eastAsia" w:ascii="宋体" w:hAnsi="宋体" w:cs="宋体"/>
          <w:color w:val="auto"/>
          <w:sz w:val="30"/>
          <w:szCs w:val="30"/>
          <w:highlight w:val="none"/>
        </w:rPr>
        <w:t>7.2.1 具有良好的商业信誉和健全的财务会计制度承诺函</w:t>
      </w:r>
    </w:p>
    <w:p w14:paraId="02DF9156">
      <w:pPr>
        <w:spacing w:line="286" w:lineRule="auto"/>
        <w:rPr>
          <w:rFonts w:hint="eastAsia" w:ascii="宋体" w:hAnsi="宋体" w:cs="宋体"/>
          <w:color w:val="auto"/>
          <w:highlight w:val="none"/>
        </w:rPr>
      </w:pPr>
    </w:p>
    <w:p w14:paraId="086C44E9">
      <w:pPr>
        <w:spacing w:line="287" w:lineRule="auto"/>
        <w:rPr>
          <w:rFonts w:hint="eastAsia" w:ascii="宋体" w:hAnsi="宋体" w:cs="宋体"/>
          <w:color w:val="auto"/>
          <w:highlight w:val="none"/>
        </w:rPr>
      </w:pPr>
    </w:p>
    <w:p w14:paraId="3CB8CA97">
      <w:pPr>
        <w:spacing w:line="287" w:lineRule="auto"/>
        <w:rPr>
          <w:rFonts w:hint="eastAsia" w:ascii="宋体" w:hAnsi="宋体" w:cs="宋体"/>
          <w:color w:val="auto"/>
          <w:highlight w:val="none"/>
        </w:rPr>
      </w:pPr>
    </w:p>
    <w:p w14:paraId="332CB295">
      <w:pPr>
        <w:spacing w:before="75" w:line="228" w:lineRule="auto"/>
        <w:rPr>
          <w:rFonts w:hint="eastAsia"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lang w:val="zh-CN"/>
        </w:rPr>
        <w:t>比选人</w:t>
      </w:r>
      <w:r>
        <w:rPr>
          <w:rFonts w:hint="eastAsia" w:ascii="宋体" w:hAnsi="宋体" w:cs="宋体"/>
          <w:color w:val="auto"/>
          <w:sz w:val="24"/>
          <w:highlight w:val="none"/>
        </w:rPr>
        <w:t>）</w:t>
      </w:r>
    </w:p>
    <w:p w14:paraId="6D165EC4">
      <w:pPr>
        <w:spacing w:before="75" w:line="228" w:lineRule="auto"/>
        <w:rPr>
          <w:rFonts w:hint="eastAsia" w:ascii="宋体" w:hAnsi="宋体" w:cs="宋体"/>
          <w:color w:val="auto"/>
          <w:sz w:val="24"/>
          <w:highlight w:val="none"/>
        </w:rPr>
      </w:pPr>
    </w:p>
    <w:p w14:paraId="7EEF9E58">
      <w:pPr>
        <w:spacing w:before="75" w:line="228" w:lineRule="auto"/>
        <w:rPr>
          <w:rFonts w:hint="eastAsia" w:ascii="宋体" w:hAnsi="宋体" w:cs="宋体"/>
          <w:color w:val="auto"/>
          <w:sz w:val="24"/>
          <w:highlight w:val="none"/>
        </w:rPr>
      </w:pPr>
    </w:p>
    <w:p w14:paraId="3F3775F8">
      <w:pPr>
        <w:spacing w:before="75"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我公司具有良好的商业信誉和健全的财务会计制度，完全有经济能力承担本项目的实施。特此声明！如我公司提供虚假信息，将承担虚假响应及违约的全部责任，并按《中华人民共和国民法典》相关法律、法规规定接受处罚。</w:t>
      </w:r>
    </w:p>
    <w:p w14:paraId="74D97F7F">
      <w:pPr>
        <w:spacing w:before="75" w:line="228" w:lineRule="auto"/>
        <w:rPr>
          <w:rFonts w:hint="eastAsia" w:ascii="宋体" w:hAnsi="宋体" w:cs="宋体"/>
          <w:color w:val="auto"/>
          <w:sz w:val="24"/>
          <w:highlight w:val="none"/>
        </w:rPr>
      </w:pPr>
    </w:p>
    <w:p w14:paraId="390702FA">
      <w:pPr>
        <w:spacing w:before="75" w:line="228" w:lineRule="auto"/>
        <w:rPr>
          <w:rFonts w:hint="eastAsia" w:ascii="宋体" w:hAnsi="宋体" w:cs="宋体"/>
          <w:color w:val="auto"/>
          <w:sz w:val="24"/>
          <w:highlight w:val="none"/>
        </w:rPr>
      </w:pPr>
    </w:p>
    <w:p w14:paraId="1E46F05D">
      <w:pPr>
        <w:spacing w:before="75" w:line="228" w:lineRule="auto"/>
        <w:rPr>
          <w:rFonts w:hint="eastAsia" w:ascii="宋体" w:hAnsi="宋体" w:cs="宋体"/>
          <w:color w:val="auto"/>
          <w:sz w:val="24"/>
          <w:highlight w:val="none"/>
        </w:rPr>
      </w:pPr>
    </w:p>
    <w:p w14:paraId="4D3BF762">
      <w:pPr>
        <w:spacing w:before="75" w:line="228" w:lineRule="auto"/>
        <w:rPr>
          <w:rFonts w:hint="eastAsia" w:ascii="宋体" w:hAnsi="宋体" w:cs="宋体"/>
          <w:color w:val="auto"/>
          <w:sz w:val="24"/>
          <w:highlight w:val="none"/>
        </w:rPr>
      </w:pPr>
      <w:r>
        <w:rPr>
          <w:rFonts w:hint="eastAsia" w:ascii="宋体" w:hAnsi="宋体" w:cs="宋体"/>
          <w:color w:val="auto"/>
          <w:sz w:val="24"/>
          <w:highlight w:val="none"/>
        </w:rPr>
        <w:t>特此承诺！</w:t>
      </w:r>
    </w:p>
    <w:p w14:paraId="48307835">
      <w:pPr>
        <w:spacing w:line="241" w:lineRule="auto"/>
        <w:rPr>
          <w:rFonts w:hint="eastAsia" w:ascii="宋体" w:hAnsi="宋体" w:cs="宋体"/>
          <w:color w:val="auto"/>
          <w:highlight w:val="none"/>
        </w:rPr>
      </w:pPr>
    </w:p>
    <w:p w14:paraId="5DC0F3AB">
      <w:pPr>
        <w:spacing w:line="242" w:lineRule="auto"/>
        <w:rPr>
          <w:rFonts w:hint="eastAsia" w:ascii="宋体" w:hAnsi="宋体" w:cs="宋体"/>
          <w:color w:val="auto"/>
          <w:highlight w:val="none"/>
        </w:rPr>
      </w:pPr>
    </w:p>
    <w:p w14:paraId="1257A2CB">
      <w:pPr>
        <w:spacing w:line="242" w:lineRule="auto"/>
        <w:rPr>
          <w:rFonts w:hint="eastAsia" w:ascii="宋体" w:hAnsi="宋体" w:cs="宋体"/>
          <w:color w:val="auto"/>
          <w:highlight w:val="none"/>
        </w:rPr>
      </w:pPr>
    </w:p>
    <w:p w14:paraId="1D9E143C">
      <w:pPr>
        <w:spacing w:line="239" w:lineRule="auto"/>
        <w:ind w:left="4940"/>
        <w:rPr>
          <w:rFonts w:hint="eastAsia" w:ascii="宋体" w:hAnsi="宋体" w:cs="宋体"/>
          <w:color w:val="auto"/>
          <w:sz w:val="24"/>
          <w:highlight w:val="none"/>
        </w:rPr>
      </w:pPr>
      <w:r>
        <w:rPr>
          <w:rFonts w:hint="eastAsia" w:ascii="宋体" w:hAnsi="宋体" w:cs="宋体"/>
          <w:color w:val="auto"/>
          <w:sz w:val="24"/>
          <w:highlight w:val="none"/>
        </w:rPr>
        <w:t>参选人名称:</w:t>
      </w:r>
    </w:p>
    <w:p w14:paraId="13DC5166">
      <w:pPr>
        <w:pStyle w:val="5"/>
        <w:rPr>
          <w:rFonts w:hint="eastAsia" w:ascii="宋体" w:hAnsi="宋体" w:cs="宋体"/>
          <w:color w:val="auto"/>
          <w:sz w:val="24"/>
          <w:highlight w:val="none"/>
        </w:rPr>
      </w:pPr>
    </w:p>
    <w:p w14:paraId="73502A4A">
      <w:pPr>
        <w:spacing w:line="162" w:lineRule="exact"/>
        <w:rPr>
          <w:rFonts w:hint="eastAsia" w:ascii="宋体" w:hAnsi="宋体" w:cs="宋体"/>
          <w:color w:val="auto"/>
          <w:sz w:val="24"/>
          <w:highlight w:val="none"/>
        </w:rPr>
      </w:pPr>
    </w:p>
    <w:p w14:paraId="0F66C093">
      <w:pPr>
        <w:spacing w:line="239" w:lineRule="auto"/>
        <w:ind w:left="4940"/>
        <w:rPr>
          <w:rFonts w:hint="eastAsia" w:ascii="宋体" w:hAnsi="宋体" w:cs="宋体"/>
          <w:color w:val="auto"/>
          <w:sz w:val="24"/>
          <w:highlight w:val="none"/>
        </w:rPr>
      </w:pPr>
      <w:r>
        <w:rPr>
          <w:rFonts w:hint="eastAsia" w:ascii="宋体" w:hAnsi="宋体" w:cs="宋体"/>
          <w:color w:val="auto"/>
          <w:sz w:val="24"/>
          <w:highlight w:val="none"/>
        </w:rPr>
        <w:t>法人代表或被授权人签字：</w:t>
      </w:r>
    </w:p>
    <w:p w14:paraId="75C702B7">
      <w:pPr>
        <w:pStyle w:val="5"/>
        <w:rPr>
          <w:rFonts w:hint="eastAsia" w:ascii="宋体" w:hAnsi="宋体" w:cs="宋体"/>
          <w:color w:val="auto"/>
          <w:sz w:val="24"/>
          <w:highlight w:val="none"/>
        </w:rPr>
      </w:pPr>
    </w:p>
    <w:p w14:paraId="3DEE0AED">
      <w:pPr>
        <w:spacing w:line="162" w:lineRule="exact"/>
        <w:rPr>
          <w:rFonts w:hint="eastAsia" w:ascii="宋体" w:hAnsi="宋体" w:cs="宋体"/>
          <w:color w:val="auto"/>
          <w:sz w:val="24"/>
          <w:highlight w:val="none"/>
        </w:rPr>
      </w:pPr>
    </w:p>
    <w:p w14:paraId="53DD5F8A">
      <w:pPr>
        <w:pStyle w:val="5"/>
        <w:jc w:val="center"/>
        <w:rPr>
          <w:rFonts w:hint="eastAsia" w:ascii="宋体" w:hAnsi="宋体" w:cs="宋体"/>
          <w:bCs/>
          <w:color w:val="auto"/>
          <w:sz w:val="32"/>
          <w:highlight w:val="none"/>
        </w:rPr>
      </w:pPr>
      <w:r>
        <w:rPr>
          <w:rStyle w:val="25"/>
          <w:rFonts w:hint="eastAsia" w:ascii="宋体" w:hAnsi="宋体" w:cs="宋体"/>
          <w:color w:val="auto"/>
          <w:sz w:val="24"/>
          <w:highlight w:val="none"/>
        </w:rPr>
        <w:t xml:space="preserve">                           日期：</w:t>
      </w:r>
    </w:p>
    <w:p w14:paraId="3AEDA6FD">
      <w:pPr>
        <w:jc w:val="center"/>
        <w:rPr>
          <w:rFonts w:hint="eastAsia" w:ascii="宋体" w:hAnsi="宋体" w:cs="宋体"/>
          <w:color w:val="auto"/>
          <w:sz w:val="24"/>
          <w:highlight w:val="none"/>
        </w:rPr>
      </w:pPr>
    </w:p>
    <w:p w14:paraId="76E79722">
      <w:pPr>
        <w:jc w:val="center"/>
        <w:rPr>
          <w:rFonts w:hint="eastAsia" w:ascii="宋体" w:hAnsi="宋体" w:cs="宋体"/>
          <w:color w:val="auto"/>
          <w:sz w:val="24"/>
          <w:highlight w:val="none"/>
        </w:rPr>
      </w:pPr>
    </w:p>
    <w:p w14:paraId="02335349">
      <w:pPr>
        <w:jc w:val="center"/>
        <w:rPr>
          <w:rFonts w:hint="eastAsia" w:ascii="宋体" w:hAnsi="宋体" w:cs="宋体"/>
          <w:color w:val="auto"/>
          <w:sz w:val="24"/>
          <w:highlight w:val="none"/>
        </w:rPr>
      </w:pPr>
    </w:p>
    <w:p w14:paraId="4C8599AF">
      <w:pPr>
        <w:pStyle w:val="14"/>
        <w:rPr>
          <w:rFonts w:hint="eastAsia" w:ascii="宋体" w:hAnsi="宋体" w:cs="宋体"/>
          <w:color w:val="auto"/>
          <w:highlight w:val="none"/>
        </w:rPr>
      </w:pPr>
    </w:p>
    <w:p w14:paraId="35288532">
      <w:pPr>
        <w:jc w:val="center"/>
        <w:rPr>
          <w:rFonts w:hint="eastAsia" w:ascii="宋体" w:hAnsi="宋体" w:cs="宋体"/>
          <w:color w:val="auto"/>
          <w:sz w:val="28"/>
          <w:szCs w:val="28"/>
          <w:highlight w:val="none"/>
        </w:rPr>
      </w:pPr>
    </w:p>
    <w:p w14:paraId="0DC1CD99">
      <w:pPr>
        <w:jc w:val="center"/>
        <w:rPr>
          <w:rFonts w:hint="eastAsia" w:ascii="宋体" w:hAnsi="宋体" w:cs="宋体"/>
          <w:bCs/>
          <w:color w:val="auto"/>
          <w:sz w:val="28"/>
          <w:szCs w:val="28"/>
          <w:highlight w:val="none"/>
        </w:rPr>
      </w:pPr>
      <w:r>
        <w:rPr>
          <w:rFonts w:hint="eastAsia" w:ascii="宋体" w:hAnsi="宋体" w:cs="宋体"/>
          <w:color w:val="auto"/>
          <w:sz w:val="28"/>
          <w:szCs w:val="28"/>
          <w:highlight w:val="none"/>
        </w:rPr>
        <w:t>7.3具有履行合同所必需的设备或专业技术能力</w:t>
      </w:r>
    </w:p>
    <w:p w14:paraId="3AB0AEE1">
      <w:pPr>
        <w:jc w:val="center"/>
        <w:rPr>
          <w:rFonts w:hint="eastAsia" w:ascii="宋体" w:hAnsi="宋体" w:cs="宋体"/>
          <w:b/>
          <w:bCs/>
          <w:color w:val="auto"/>
          <w:sz w:val="24"/>
          <w:highlight w:val="none"/>
        </w:rPr>
      </w:pPr>
    </w:p>
    <w:p w14:paraId="09DA286E">
      <w:pPr>
        <w:jc w:val="center"/>
        <w:rPr>
          <w:rFonts w:hint="eastAsia" w:ascii="宋体" w:hAnsi="宋体" w:cs="宋体"/>
          <w:color w:val="auto"/>
          <w:sz w:val="24"/>
          <w:highlight w:val="none"/>
        </w:rPr>
      </w:pPr>
      <w:r>
        <w:rPr>
          <w:rFonts w:hint="eastAsia" w:ascii="宋体" w:hAnsi="宋体" w:cs="宋体"/>
          <w:b/>
          <w:bCs/>
          <w:color w:val="auto"/>
          <w:sz w:val="24"/>
          <w:highlight w:val="none"/>
        </w:rPr>
        <w:t>（提供具备履行合同的相关设备或专业技术能力的承诺函）</w:t>
      </w:r>
    </w:p>
    <w:p w14:paraId="72D2D0A6">
      <w:pPr>
        <w:jc w:val="center"/>
        <w:rPr>
          <w:rFonts w:hint="eastAsia" w:ascii="宋体" w:hAnsi="宋体" w:cs="宋体"/>
          <w:color w:val="auto"/>
          <w:sz w:val="24"/>
          <w:highlight w:val="none"/>
        </w:rPr>
      </w:pPr>
    </w:p>
    <w:p w14:paraId="2A4720C7">
      <w:pPr>
        <w:jc w:val="center"/>
        <w:rPr>
          <w:rFonts w:hint="eastAsia" w:ascii="宋体" w:hAnsi="宋体" w:cs="宋体"/>
          <w:color w:val="auto"/>
          <w:sz w:val="24"/>
          <w:highlight w:val="none"/>
        </w:rPr>
      </w:pPr>
    </w:p>
    <w:p w14:paraId="2EA58B9A">
      <w:pPr>
        <w:jc w:val="center"/>
        <w:rPr>
          <w:rFonts w:hint="eastAsia" w:ascii="宋体" w:hAnsi="宋体" w:cs="宋体"/>
          <w:color w:val="auto"/>
          <w:sz w:val="24"/>
          <w:highlight w:val="none"/>
        </w:rPr>
      </w:pPr>
      <w:r>
        <w:rPr>
          <w:rFonts w:hint="eastAsia" w:ascii="宋体" w:hAnsi="宋体" w:cs="宋体"/>
          <w:color w:val="auto"/>
          <w:sz w:val="24"/>
          <w:highlight w:val="none"/>
        </w:rPr>
        <w:t>具有履行合同所必须的设备和专业技术能力的承诺函（格式）</w:t>
      </w:r>
    </w:p>
    <w:p w14:paraId="54ADF0D7">
      <w:pPr>
        <w:jc w:val="center"/>
        <w:rPr>
          <w:rFonts w:hint="eastAsia" w:ascii="宋体" w:hAnsi="宋体" w:cs="宋体"/>
          <w:color w:val="auto"/>
          <w:sz w:val="24"/>
          <w:highlight w:val="none"/>
        </w:rPr>
      </w:pPr>
    </w:p>
    <w:p w14:paraId="7555328D">
      <w:pPr>
        <w:jc w:val="center"/>
        <w:rPr>
          <w:rFonts w:hint="eastAsia" w:ascii="宋体" w:hAnsi="宋体" w:cs="宋体"/>
          <w:color w:val="auto"/>
          <w:sz w:val="24"/>
          <w:highlight w:val="none"/>
        </w:rPr>
      </w:pPr>
    </w:p>
    <w:p w14:paraId="3681E325">
      <w:pPr>
        <w:jc w:val="left"/>
        <w:rPr>
          <w:rFonts w:hint="eastAsia" w:ascii="宋体" w:hAnsi="宋体" w:cs="宋体"/>
          <w:color w:val="auto"/>
          <w:sz w:val="24"/>
          <w:highlight w:val="none"/>
          <w:u w:val="single"/>
        </w:rPr>
      </w:pPr>
      <w:r>
        <w:rPr>
          <w:rFonts w:hint="eastAsia" w:ascii="宋体" w:hAnsi="宋体" w:cs="宋体"/>
          <w:color w:val="auto"/>
          <w:sz w:val="24"/>
          <w:highlight w:val="none"/>
        </w:rPr>
        <w:t>致：</w:t>
      </w:r>
      <w:r>
        <w:rPr>
          <w:rFonts w:hint="eastAsia" w:ascii="宋体" w:hAnsi="宋体" w:cs="宋体"/>
          <w:color w:val="auto"/>
          <w:sz w:val="24"/>
          <w:highlight w:val="none"/>
          <w:u w:val="single"/>
        </w:rPr>
        <w:t xml:space="preserve">（比选人）      </w:t>
      </w:r>
    </w:p>
    <w:p w14:paraId="116F97CD">
      <w:pPr>
        <w:jc w:val="center"/>
        <w:rPr>
          <w:rFonts w:hint="eastAsia" w:ascii="宋体" w:hAnsi="宋体" w:cs="宋体"/>
          <w:color w:val="auto"/>
          <w:sz w:val="24"/>
          <w:highlight w:val="none"/>
          <w:u w:val="single"/>
        </w:rPr>
      </w:pPr>
    </w:p>
    <w:p w14:paraId="7BF81E74">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我公司</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（公司名称）参加贵方组织的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（项目名称、项目编号）的参选活动，我方承诺：我公司具有履行合同所必须的设备和专业技术能力；</w:t>
      </w:r>
    </w:p>
    <w:p w14:paraId="05E53701">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本公司对上述承诺真实性负责。如有虚假，我公司同意按我方合同违约处理，并依法承诺相应法律责任。</w:t>
      </w:r>
    </w:p>
    <w:p w14:paraId="3998CD20">
      <w:pP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 xml:space="preserve">    特此承诺。</w:t>
      </w:r>
    </w:p>
    <w:p w14:paraId="3960A426">
      <w:pPr>
        <w:jc w:val="center"/>
        <w:rPr>
          <w:rFonts w:hint="eastAsia" w:ascii="宋体" w:hAnsi="宋体" w:cs="宋体"/>
          <w:color w:val="auto"/>
          <w:sz w:val="24"/>
          <w:highlight w:val="none"/>
        </w:rPr>
      </w:pPr>
    </w:p>
    <w:p w14:paraId="5718E507">
      <w:pPr>
        <w:jc w:val="center"/>
        <w:rPr>
          <w:rFonts w:hint="eastAsia" w:ascii="宋体" w:hAnsi="宋体" w:cs="宋体"/>
          <w:color w:val="auto"/>
          <w:sz w:val="24"/>
          <w:highlight w:val="none"/>
        </w:rPr>
      </w:pPr>
    </w:p>
    <w:p w14:paraId="1E64348F">
      <w:pPr>
        <w:spacing w:line="239" w:lineRule="auto"/>
        <w:ind w:left="4940"/>
        <w:rPr>
          <w:rFonts w:hint="eastAsia" w:ascii="宋体" w:hAnsi="宋体" w:cs="宋体"/>
          <w:color w:val="auto"/>
          <w:sz w:val="24"/>
          <w:highlight w:val="none"/>
        </w:rPr>
      </w:pPr>
      <w:r>
        <w:rPr>
          <w:rFonts w:hint="eastAsia" w:ascii="宋体" w:hAnsi="宋体" w:cs="宋体"/>
          <w:color w:val="auto"/>
          <w:sz w:val="24"/>
          <w:highlight w:val="none"/>
        </w:rPr>
        <w:t>参选人名称:</w:t>
      </w:r>
    </w:p>
    <w:p w14:paraId="74BFD1D8">
      <w:pPr>
        <w:pStyle w:val="5"/>
        <w:rPr>
          <w:rFonts w:hint="eastAsia" w:ascii="宋体" w:hAnsi="宋体" w:cs="宋体"/>
          <w:color w:val="auto"/>
          <w:sz w:val="24"/>
          <w:highlight w:val="none"/>
        </w:rPr>
      </w:pPr>
    </w:p>
    <w:p w14:paraId="668CCC3A">
      <w:pPr>
        <w:spacing w:line="162" w:lineRule="exact"/>
        <w:rPr>
          <w:rFonts w:hint="eastAsia" w:ascii="宋体" w:hAnsi="宋体" w:cs="宋体"/>
          <w:color w:val="auto"/>
          <w:sz w:val="24"/>
          <w:highlight w:val="none"/>
        </w:rPr>
      </w:pPr>
    </w:p>
    <w:p w14:paraId="77808B1E">
      <w:pPr>
        <w:spacing w:line="239" w:lineRule="auto"/>
        <w:ind w:left="4940"/>
        <w:rPr>
          <w:rFonts w:hint="eastAsia" w:ascii="宋体" w:hAnsi="宋体" w:cs="宋体"/>
          <w:color w:val="auto"/>
          <w:sz w:val="24"/>
          <w:highlight w:val="none"/>
        </w:rPr>
      </w:pPr>
      <w:r>
        <w:rPr>
          <w:rFonts w:hint="eastAsia" w:ascii="宋体" w:hAnsi="宋体" w:cs="宋体"/>
          <w:color w:val="auto"/>
          <w:sz w:val="24"/>
          <w:highlight w:val="none"/>
        </w:rPr>
        <w:t>法人代表或被授权人签字：</w:t>
      </w:r>
    </w:p>
    <w:p w14:paraId="4C823FFF">
      <w:pPr>
        <w:pStyle w:val="5"/>
        <w:rPr>
          <w:rFonts w:hint="eastAsia" w:ascii="宋体" w:hAnsi="宋体" w:cs="宋体"/>
          <w:color w:val="auto"/>
          <w:sz w:val="24"/>
          <w:highlight w:val="none"/>
        </w:rPr>
      </w:pPr>
    </w:p>
    <w:p w14:paraId="4750D561">
      <w:pPr>
        <w:spacing w:line="162" w:lineRule="exact"/>
        <w:rPr>
          <w:rFonts w:hint="eastAsia" w:ascii="宋体" w:hAnsi="宋体" w:cs="宋体"/>
          <w:color w:val="auto"/>
          <w:sz w:val="24"/>
          <w:highlight w:val="none"/>
        </w:rPr>
      </w:pPr>
    </w:p>
    <w:p w14:paraId="5FEDCE02">
      <w:pPr>
        <w:pStyle w:val="5"/>
        <w:jc w:val="center"/>
        <w:rPr>
          <w:rFonts w:hint="eastAsia" w:ascii="宋体" w:hAnsi="宋体" w:cs="宋体"/>
          <w:bCs/>
          <w:color w:val="auto"/>
          <w:sz w:val="32"/>
          <w:highlight w:val="none"/>
        </w:rPr>
      </w:pPr>
      <w:r>
        <w:rPr>
          <w:rStyle w:val="25"/>
          <w:rFonts w:hint="eastAsia" w:ascii="宋体" w:hAnsi="宋体" w:cs="宋体"/>
          <w:color w:val="auto"/>
          <w:sz w:val="24"/>
          <w:highlight w:val="none"/>
        </w:rPr>
        <w:t xml:space="preserve">                           日期：</w:t>
      </w:r>
    </w:p>
    <w:p w14:paraId="3E595A57">
      <w:pPr>
        <w:jc w:val="center"/>
        <w:rPr>
          <w:rFonts w:hint="eastAsia" w:ascii="宋体" w:hAnsi="宋体" w:cs="宋体"/>
          <w:color w:val="auto"/>
          <w:sz w:val="24"/>
          <w:highlight w:val="none"/>
        </w:rPr>
      </w:pPr>
    </w:p>
    <w:p w14:paraId="2547A579">
      <w:pPr>
        <w:jc w:val="center"/>
        <w:rPr>
          <w:rFonts w:hint="eastAsia" w:ascii="宋体" w:hAnsi="宋体" w:cs="宋体"/>
          <w:color w:val="auto"/>
          <w:sz w:val="24"/>
          <w:highlight w:val="none"/>
        </w:rPr>
      </w:pPr>
    </w:p>
    <w:p w14:paraId="61ADA147">
      <w:pPr>
        <w:jc w:val="center"/>
        <w:rPr>
          <w:rFonts w:hint="eastAsia" w:ascii="宋体" w:hAnsi="宋体" w:cs="宋体"/>
          <w:color w:val="auto"/>
          <w:sz w:val="24"/>
          <w:highlight w:val="none"/>
        </w:rPr>
      </w:pPr>
    </w:p>
    <w:p w14:paraId="14B62449">
      <w:pPr>
        <w:jc w:val="center"/>
        <w:rPr>
          <w:rFonts w:hint="eastAsia" w:ascii="宋体" w:hAnsi="宋体" w:cs="宋体"/>
          <w:color w:val="auto"/>
          <w:sz w:val="24"/>
          <w:highlight w:val="none"/>
        </w:rPr>
      </w:pPr>
    </w:p>
    <w:p w14:paraId="526EC212">
      <w:pPr>
        <w:jc w:val="center"/>
        <w:rPr>
          <w:rFonts w:hint="eastAsia" w:ascii="宋体" w:hAnsi="宋体" w:cs="宋体"/>
          <w:color w:val="auto"/>
          <w:sz w:val="24"/>
          <w:highlight w:val="none"/>
        </w:rPr>
      </w:pPr>
    </w:p>
    <w:p w14:paraId="3AA58808">
      <w:pPr>
        <w:pStyle w:val="21"/>
        <w:rPr>
          <w:rFonts w:hint="eastAsia" w:hAnsi="宋体" w:cs="宋体"/>
          <w:color w:val="auto"/>
          <w:sz w:val="24"/>
          <w:szCs w:val="24"/>
          <w:highlight w:val="none"/>
        </w:rPr>
      </w:pPr>
    </w:p>
    <w:p w14:paraId="17015D5B">
      <w:pPr>
        <w:pStyle w:val="21"/>
        <w:rPr>
          <w:rFonts w:hint="eastAsia" w:hAnsi="宋体" w:cs="宋体"/>
          <w:color w:val="auto"/>
          <w:sz w:val="24"/>
          <w:szCs w:val="24"/>
          <w:highlight w:val="none"/>
        </w:rPr>
      </w:pPr>
    </w:p>
    <w:p w14:paraId="638CD2A8">
      <w:pPr>
        <w:pStyle w:val="21"/>
        <w:rPr>
          <w:rFonts w:hint="eastAsia" w:hAnsi="宋体" w:cs="宋体"/>
          <w:color w:val="auto"/>
          <w:sz w:val="24"/>
          <w:szCs w:val="24"/>
          <w:highlight w:val="none"/>
        </w:rPr>
      </w:pPr>
    </w:p>
    <w:p w14:paraId="7A67CA38">
      <w:pPr>
        <w:pStyle w:val="21"/>
        <w:rPr>
          <w:rFonts w:hint="eastAsia" w:hAnsi="宋体" w:cs="宋体"/>
          <w:color w:val="auto"/>
          <w:sz w:val="24"/>
          <w:szCs w:val="24"/>
          <w:highlight w:val="none"/>
        </w:rPr>
      </w:pPr>
    </w:p>
    <w:p w14:paraId="11077B2A">
      <w:pPr>
        <w:pStyle w:val="21"/>
        <w:rPr>
          <w:rFonts w:hint="eastAsia" w:hAnsi="宋体" w:cs="宋体"/>
          <w:color w:val="auto"/>
          <w:sz w:val="24"/>
          <w:szCs w:val="24"/>
          <w:highlight w:val="none"/>
        </w:rPr>
      </w:pPr>
    </w:p>
    <w:p w14:paraId="14E0F398">
      <w:pPr>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7.4有依法缴纳税收和社会保障资金的良好记录</w:t>
      </w:r>
    </w:p>
    <w:p w14:paraId="15EF4E1B">
      <w:pPr>
        <w:jc w:val="center"/>
        <w:rPr>
          <w:rFonts w:hint="eastAsia" w:ascii="宋体" w:hAnsi="宋体" w:cs="宋体"/>
          <w:color w:val="auto"/>
          <w:sz w:val="24"/>
          <w:highlight w:val="none"/>
        </w:rPr>
      </w:pPr>
    </w:p>
    <w:p w14:paraId="5A71139E">
      <w:pPr>
        <w:jc w:val="center"/>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b/>
          <w:bCs/>
          <w:color w:val="auto"/>
          <w:sz w:val="24"/>
          <w:highlight w:val="none"/>
        </w:rPr>
        <w:t>提供比选前六个月内的任意一个月的社保缴纳证明和缴纳税收证明复印件加盖公章或提供正常缴纳税收和社保的承诺函（详见7.4.1）</w:t>
      </w:r>
      <w:r>
        <w:rPr>
          <w:rFonts w:hint="eastAsia" w:ascii="宋体" w:hAnsi="宋体" w:cs="宋体"/>
          <w:color w:val="auto"/>
          <w:sz w:val="24"/>
          <w:highlight w:val="none"/>
        </w:rPr>
        <w:t>】</w:t>
      </w:r>
    </w:p>
    <w:p w14:paraId="037CB961">
      <w:pPr>
        <w:jc w:val="center"/>
        <w:rPr>
          <w:rFonts w:hint="eastAsia" w:ascii="宋体" w:hAnsi="宋体" w:cs="宋体"/>
          <w:color w:val="auto"/>
          <w:sz w:val="24"/>
          <w:highlight w:val="none"/>
        </w:rPr>
      </w:pPr>
    </w:p>
    <w:p w14:paraId="4CB22299">
      <w:pPr>
        <w:jc w:val="center"/>
        <w:rPr>
          <w:rFonts w:hint="eastAsia" w:ascii="宋体" w:hAnsi="宋体" w:cs="宋体"/>
          <w:color w:val="auto"/>
          <w:sz w:val="24"/>
          <w:highlight w:val="none"/>
        </w:rPr>
      </w:pPr>
    </w:p>
    <w:p w14:paraId="2ED607FD">
      <w:pPr>
        <w:jc w:val="center"/>
        <w:rPr>
          <w:rFonts w:hint="eastAsia" w:ascii="宋体" w:hAnsi="宋体" w:cs="宋体"/>
          <w:color w:val="auto"/>
          <w:sz w:val="24"/>
          <w:highlight w:val="none"/>
        </w:rPr>
      </w:pPr>
    </w:p>
    <w:p w14:paraId="32F92201">
      <w:pPr>
        <w:jc w:val="center"/>
        <w:rPr>
          <w:rFonts w:hint="eastAsia" w:ascii="宋体" w:hAnsi="宋体" w:cs="宋体"/>
          <w:color w:val="auto"/>
          <w:sz w:val="24"/>
          <w:highlight w:val="none"/>
        </w:rPr>
      </w:pPr>
    </w:p>
    <w:p w14:paraId="17DA2B4F">
      <w:pPr>
        <w:jc w:val="center"/>
        <w:rPr>
          <w:rFonts w:hint="eastAsia" w:ascii="宋体" w:hAnsi="宋体" w:cs="宋体"/>
          <w:color w:val="auto"/>
          <w:sz w:val="24"/>
          <w:highlight w:val="none"/>
        </w:rPr>
      </w:pPr>
    </w:p>
    <w:p w14:paraId="1818CDB2">
      <w:pPr>
        <w:spacing w:before="75" w:line="228" w:lineRule="auto"/>
        <w:jc w:val="center"/>
        <w:rPr>
          <w:rFonts w:hint="eastAsia" w:ascii="宋体" w:hAnsi="宋体" w:cs="宋体"/>
          <w:b/>
          <w:bCs/>
          <w:color w:val="auto"/>
          <w:sz w:val="24"/>
          <w:highlight w:val="none"/>
        </w:rPr>
      </w:pPr>
      <w:r>
        <w:rPr>
          <w:rFonts w:hint="eastAsia" w:ascii="宋体" w:hAnsi="宋体" w:cs="宋体"/>
          <w:b/>
          <w:bCs/>
          <w:color w:val="auto"/>
          <w:sz w:val="24"/>
          <w:highlight w:val="none"/>
        </w:rPr>
        <w:t>7.4.1</w:t>
      </w:r>
      <w:r>
        <w:rPr>
          <w:rFonts w:hint="eastAsia" w:ascii="宋体" w:hAnsi="宋体" w:cs="宋体"/>
          <w:b/>
          <w:bCs/>
          <w:color w:val="auto"/>
          <w:sz w:val="24"/>
          <w:highlight w:val="none"/>
          <w:lang w:val="en-US" w:eastAsia="zh-CN"/>
        </w:rPr>
        <w:t xml:space="preserve"> </w:t>
      </w:r>
      <w:r>
        <w:rPr>
          <w:rFonts w:hint="eastAsia" w:ascii="宋体" w:hAnsi="宋体" w:cs="宋体"/>
          <w:b/>
          <w:bCs/>
          <w:color w:val="auto"/>
          <w:sz w:val="24"/>
          <w:highlight w:val="none"/>
        </w:rPr>
        <w:t>有依法缴纳税收和社会保障资金承诺函</w:t>
      </w:r>
    </w:p>
    <w:p w14:paraId="3F677A06">
      <w:pPr>
        <w:spacing w:before="75" w:line="228" w:lineRule="auto"/>
        <w:rPr>
          <w:rFonts w:hint="eastAsia" w:ascii="宋体" w:hAnsi="宋体" w:cs="宋体"/>
          <w:color w:val="auto"/>
          <w:sz w:val="24"/>
          <w:highlight w:val="none"/>
        </w:rPr>
      </w:pPr>
      <w:r>
        <w:rPr>
          <w:rFonts w:hint="eastAsia" w:ascii="宋体" w:hAnsi="宋体" w:cs="宋体"/>
          <w:color w:val="auto"/>
          <w:sz w:val="24"/>
          <w:highlight w:val="none"/>
        </w:rPr>
        <w:t>致：（比选</w:t>
      </w:r>
      <w:r>
        <w:rPr>
          <w:rFonts w:hint="eastAsia" w:ascii="宋体" w:hAnsi="宋体" w:cs="宋体"/>
          <w:color w:val="auto"/>
          <w:sz w:val="24"/>
          <w:highlight w:val="none"/>
          <w:lang w:val="zh-CN"/>
        </w:rPr>
        <w:t>人</w:t>
      </w:r>
      <w:r>
        <w:rPr>
          <w:rFonts w:hint="eastAsia" w:ascii="宋体" w:hAnsi="宋体" w:cs="宋体"/>
          <w:color w:val="auto"/>
          <w:sz w:val="24"/>
          <w:highlight w:val="none"/>
        </w:rPr>
        <w:t>）</w:t>
      </w:r>
    </w:p>
    <w:p w14:paraId="498D65A1">
      <w:pPr>
        <w:spacing w:before="75" w:line="228" w:lineRule="auto"/>
        <w:rPr>
          <w:rFonts w:hint="eastAsia" w:ascii="宋体" w:hAnsi="宋体" w:cs="宋体"/>
          <w:color w:val="auto"/>
          <w:sz w:val="24"/>
          <w:highlight w:val="none"/>
        </w:rPr>
      </w:pPr>
    </w:p>
    <w:p w14:paraId="43CD8ED5">
      <w:pPr>
        <w:spacing w:before="75" w:line="228" w:lineRule="auto"/>
        <w:rPr>
          <w:rFonts w:hint="eastAsia" w:ascii="宋体" w:hAnsi="宋体" w:cs="宋体"/>
          <w:color w:val="auto"/>
          <w:sz w:val="24"/>
          <w:highlight w:val="none"/>
        </w:rPr>
      </w:pPr>
    </w:p>
    <w:p w14:paraId="5D942C06">
      <w:pPr>
        <w:spacing w:before="75"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我公司声明有依法缴纳税收和社会保障资金的良好记录，特此声明！如我公司提供虚假信息，将承担虚假响应及违约的全部责任，并按《中华人民共和国民法典》相关法律、法规规定接受处罚。</w:t>
      </w:r>
    </w:p>
    <w:p w14:paraId="0BB8E7E6">
      <w:pPr>
        <w:spacing w:before="75" w:line="360" w:lineRule="auto"/>
        <w:rPr>
          <w:rFonts w:hint="eastAsia" w:ascii="宋体" w:hAnsi="宋体" w:cs="宋体"/>
          <w:color w:val="auto"/>
          <w:sz w:val="24"/>
          <w:highlight w:val="none"/>
        </w:rPr>
      </w:pPr>
    </w:p>
    <w:p w14:paraId="7059264F">
      <w:pPr>
        <w:spacing w:before="75" w:line="228" w:lineRule="auto"/>
        <w:rPr>
          <w:rFonts w:hint="eastAsia" w:ascii="宋体" w:hAnsi="宋体" w:cs="宋体"/>
          <w:color w:val="auto"/>
          <w:sz w:val="24"/>
          <w:highlight w:val="none"/>
        </w:rPr>
      </w:pPr>
    </w:p>
    <w:p w14:paraId="20B1156F">
      <w:pPr>
        <w:spacing w:before="75" w:line="228" w:lineRule="auto"/>
        <w:rPr>
          <w:rFonts w:hint="eastAsia" w:ascii="宋体" w:hAnsi="宋体" w:cs="宋体"/>
          <w:color w:val="auto"/>
          <w:sz w:val="24"/>
          <w:highlight w:val="none"/>
        </w:rPr>
      </w:pPr>
    </w:p>
    <w:p w14:paraId="64E274D8">
      <w:pPr>
        <w:spacing w:before="75" w:line="228" w:lineRule="auto"/>
        <w:rPr>
          <w:rFonts w:hint="eastAsia" w:ascii="宋体" w:hAnsi="宋体" w:cs="宋体"/>
          <w:color w:val="auto"/>
          <w:sz w:val="24"/>
          <w:highlight w:val="none"/>
        </w:rPr>
      </w:pPr>
      <w:r>
        <w:rPr>
          <w:rFonts w:hint="eastAsia" w:ascii="宋体" w:hAnsi="宋体" w:cs="宋体"/>
          <w:color w:val="auto"/>
          <w:sz w:val="24"/>
          <w:highlight w:val="none"/>
        </w:rPr>
        <w:t>特此承诺！</w:t>
      </w:r>
    </w:p>
    <w:p w14:paraId="19C0E6C5">
      <w:pPr>
        <w:spacing w:before="75" w:line="228" w:lineRule="auto"/>
        <w:rPr>
          <w:rFonts w:hint="eastAsia" w:ascii="宋体" w:hAnsi="宋体" w:cs="宋体"/>
          <w:color w:val="auto"/>
          <w:sz w:val="24"/>
          <w:highlight w:val="none"/>
        </w:rPr>
      </w:pPr>
    </w:p>
    <w:p w14:paraId="577CF53D">
      <w:pPr>
        <w:spacing w:before="75" w:line="228" w:lineRule="auto"/>
        <w:rPr>
          <w:rFonts w:hint="eastAsia" w:ascii="宋体" w:hAnsi="宋体" w:cs="宋体"/>
          <w:color w:val="auto"/>
          <w:sz w:val="24"/>
          <w:highlight w:val="none"/>
        </w:rPr>
      </w:pPr>
    </w:p>
    <w:p w14:paraId="3938C848">
      <w:pPr>
        <w:spacing w:before="75" w:line="228" w:lineRule="auto"/>
        <w:rPr>
          <w:rFonts w:hint="eastAsia" w:ascii="宋体" w:hAnsi="宋体" w:cs="宋体"/>
          <w:color w:val="auto"/>
          <w:sz w:val="24"/>
          <w:highlight w:val="none"/>
        </w:rPr>
      </w:pPr>
    </w:p>
    <w:p w14:paraId="2C43B018">
      <w:pPr>
        <w:spacing w:before="75" w:line="228" w:lineRule="auto"/>
        <w:rPr>
          <w:rFonts w:hint="eastAsia" w:ascii="宋体" w:hAnsi="宋体" w:cs="宋体"/>
          <w:color w:val="auto"/>
          <w:sz w:val="24"/>
          <w:highlight w:val="none"/>
        </w:rPr>
      </w:pPr>
    </w:p>
    <w:p w14:paraId="2DE2E358">
      <w:pPr>
        <w:spacing w:before="75" w:line="228" w:lineRule="auto"/>
        <w:rPr>
          <w:rFonts w:hint="eastAsia" w:ascii="宋体" w:hAnsi="宋体" w:cs="宋体"/>
          <w:color w:val="auto"/>
          <w:sz w:val="24"/>
          <w:highlight w:val="none"/>
        </w:rPr>
      </w:pPr>
    </w:p>
    <w:p w14:paraId="513EEF9D">
      <w:pPr>
        <w:spacing w:before="75" w:line="228" w:lineRule="auto"/>
        <w:rPr>
          <w:rFonts w:hint="eastAsia" w:ascii="宋体" w:hAnsi="宋体" w:cs="宋体"/>
          <w:color w:val="auto"/>
          <w:sz w:val="24"/>
          <w:highlight w:val="none"/>
        </w:rPr>
      </w:pPr>
    </w:p>
    <w:p w14:paraId="103CBBB7">
      <w:pPr>
        <w:spacing w:before="75" w:line="228" w:lineRule="auto"/>
        <w:rPr>
          <w:rFonts w:hint="eastAsia" w:ascii="宋体" w:hAnsi="宋体" w:cs="宋体"/>
          <w:color w:val="auto"/>
          <w:sz w:val="24"/>
          <w:highlight w:val="none"/>
        </w:rPr>
      </w:pPr>
    </w:p>
    <w:p w14:paraId="24605D45">
      <w:pPr>
        <w:spacing w:line="239" w:lineRule="auto"/>
        <w:ind w:left="4940"/>
        <w:rPr>
          <w:rFonts w:hint="eastAsia" w:ascii="宋体" w:hAnsi="宋体" w:cs="宋体"/>
          <w:color w:val="auto"/>
          <w:sz w:val="24"/>
          <w:highlight w:val="none"/>
        </w:rPr>
      </w:pPr>
      <w:r>
        <w:rPr>
          <w:rFonts w:hint="eastAsia" w:ascii="宋体" w:hAnsi="宋体" w:cs="宋体"/>
          <w:color w:val="auto"/>
          <w:sz w:val="24"/>
          <w:highlight w:val="none"/>
        </w:rPr>
        <w:t>参选人名称:</w:t>
      </w:r>
    </w:p>
    <w:p w14:paraId="606E92D0">
      <w:pPr>
        <w:pStyle w:val="5"/>
        <w:rPr>
          <w:rFonts w:hint="eastAsia" w:ascii="宋体" w:hAnsi="宋体" w:cs="宋体"/>
          <w:color w:val="auto"/>
          <w:sz w:val="24"/>
          <w:highlight w:val="none"/>
        </w:rPr>
      </w:pPr>
    </w:p>
    <w:p w14:paraId="14D645E7">
      <w:pPr>
        <w:spacing w:line="162" w:lineRule="exact"/>
        <w:rPr>
          <w:rFonts w:hint="eastAsia" w:ascii="宋体" w:hAnsi="宋体" w:cs="宋体"/>
          <w:color w:val="auto"/>
          <w:sz w:val="24"/>
          <w:highlight w:val="none"/>
        </w:rPr>
      </w:pPr>
    </w:p>
    <w:p w14:paraId="765E024C">
      <w:pPr>
        <w:spacing w:line="239" w:lineRule="auto"/>
        <w:ind w:left="4940"/>
        <w:rPr>
          <w:rFonts w:hint="eastAsia" w:ascii="宋体" w:hAnsi="宋体" w:cs="宋体"/>
          <w:color w:val="auto"/>
          <w:sz w:val="24"/>
          <w:highlight w:val="none"/>
        </w:rPr>
      </w:pPr>
      <w:r>
        <w:rPr>
          <w:rFonts w:hint="eastAsia" w:ascii="宋体" w:hAnsi="宋体" w:cs="宋体"/>
          <w:color w:val="auto"/>
          <w:sz w:val="24"/>
          <w:highlight w:val="none"/>
        </w:rPr>
        <w:t>法人代表或被授权人签字：</w:t>
      </w:r>
    </w:p>
    <w:p w14:paraId="5BF9B700">
      <w:pPr>
        <w:pStyle w:val="5"/>
        <w:rPr>
          <w:rFonts w:hint="eastAsia" w:ascii="宋体" w:hAnsi="宋体" w:cs="宋体"/>
          <w:color w:val="auto"/>
          <w:sz w:val="24"/>
          <w:highlight w:val="none"/>
        </w:rPr>
      </w:pPr>
    </w:p>
    <w:p w14:paraId="0D718004">
      <w:pPr>
        <w:spacing w:line="162" w:lineRule="exact"/>
        <w:rPr>
          <w:rFonts w:hint="eastAsia" w:ascii="宋体" w:hAnsi="宋体" w:cs="宋体"/>
          <w:color w:val="auto"/>
          <w:sz w:val="24"/>
          <w:highlight w:val="none"/>
        </w:rPr>
      </w:pPr>
    </w:p>
    <w:p w14:paraId="6398EDB2">
      <w:pPr>
        <w:pStyle w:val="5"/>
        <w:jc w:val="center"/>
        <w:rPr>
          <w:rFonts w:hint="eastAsia" w:ascii="宋体" w:hAnsi="宋体" w:cs="宋体"/>
          <w:bCs/>
          <w:color w:val="auto"/>
          <w:sz w:val="32"/>
          <w:highlight w:val="none"/>
        </w:rPr>
      </w:pPr>
      <w:r>
        <w:rPr>
          <w:rStyle w:val="25"/>
          <w:rFonts w:hint="eastAsia" w:ascii="宋体" w:hAnsi="宋体" w:cs="宋体"/>
          <w:color w:val="auto"/>
          <w:sz w:val="24"/>
          <w:highlight w:val="none"/>
        </w:rPr>
        <w:t xml:space="preserve">                           日期：</w:t>
      </w:r>
    </w:p>
    <w:p w14:paraId="73F2914F">
      <w:pPr>
        <w:jc w:val="center"/>
        <w:rPr>
          <w:rFonts w:hint="eastAsia" w:ascii="宋体" w:hAnsi="宋体" w:cs="宋体"/>
          <w:color w:val="auto"/>
          <w:sz w:val="24"/>
          <w:highlight w:val="none"/>
        </w:rPr>
      </w:pPr>
    </w:p>
    <w:p w14:paraId="717BC836">
      <w:pPr>
        <w:jc w:val="center"/>
        <w:rPr>
          <w:rFonts w:hint="eastAsia" w:ascii="宋体" w:hAnsi="宋体" w:cs="宋体"/>
          <w:color w:val="auto"/>
          <w:sz w:val="24"/>
          <w:highlight w:val="none"/>
        </w:rPr>
      </w:pPr>
    </w:p>
    <w:p w14:paraId="39AFA4EB">
      <w:pPr>
        <w:jc w:val="center"/>
        <w:rPr>
          <w:rFonts w:hint="eastAsia" w:ascii="宋体" w:hAnsi="宋体" w:cs="宋体"/>
          <w:color w:val="auto"/>
          <w:sz w:val="24"/>
          <w:highlight w:val="none"/>
        </w:rPr>
      </w:pPr>
    </w:p>
    <w:p w14:paraId="1E76FC86">
      <w:pPr>
        <w:jc w:val="center"/>
        <w:rPr>
          <w:rFonts w:hint="eastAsia" w:ascii="宋体" w:hAnsi="宋体" w:cs="宋体"/>
          <w:color w:val="auto"/>
          <w:sz w:val="24"/>
          <w:highlight w:val="none"/>
        </w:rPr>
      </w:pPr>
    </w:p>
    <w:p w14:paraId="0917FA05">
      <w:pPr>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7.5参加比选活动前三年内，在经营活动中没有违法记录</w:t>
      </w:r>
    </w:p>
    <w:p w14:paraId="4A99CA73">
      <w:pPr>
        <w:jc w:val="center"/>
        <w:rPr>
          <w:rFonts w:hint="eastAsia" w:ascii="宋体" w:hAnsi="宋体" w:cs="宋体"/>
          <w:color w:val="auto"/>
          <w:sz w:val="24"/>
          <w:highlight w:val="none"/>
        </w:rPr>
      </w:pPr>
    </w:p>
    <w:p w14:paraId="37801942">
      <w:pPr>
        <w:jc w:val="center"/>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b/>
          <w:bCs/>
          <w:color w:val="auto"/>
          <w:sz w:val="24"/>
          <w:highlight w:val="none"/>
        </w:rPr>
        <w:t>提供参加比选活动前三年内，在经营活动中没有违法记录的承诺函</w:t>
      </w:r>
      <w:r>
        <w:rPr>
          <w:rFonts w:hint="eastAsia" w:ascii="宋体" w:hAnsi="宋体" w:cs="宋体"/>
          <w:color w:val="auto"/>
          <w:sz w:val="24"/>
          <w:highlight w:val="none"/>
        </w:rPr>
        <w:t>）</w:t>
      </w:r>
    </w:p>
    <w:p w14:paraId="5D809BBB">
      <w:pPr>
        <w:jc w:val="center"/>
        <w:rPr>
          <w:rFonts w:hint="eastAsia" w:ascii="宋体" w:hAnsi="宋体" w:cs="宋体"/>
          <w:color w:val="auto"/>
          <w:sz w:val="24"/>
          <w:highlight w:val="none"/>
        </w:rPr>
      </w:pPr>
    </w:p>
    <w:p w14:paraId="7C72EC9F">
      <w:pPr>
        <w:jc w:val="center"/>
        <w:rPr>
          <w:rFonts w:hint="eastAsia" w:ascii="宋体" w:hAnsi="宋体" w:cs="宋体"/>
          <w:color w:val="auto"/>
          <w:sz w:val="24"/>
          <w:highlight w:val="none"/>
        </w:rPr>
      </w:pPr>
      <w:r>
        <w:rPr>
          <w:rFonts w:hint="eastAsia" w:ascii="宋体" w:hAnsi="宋体" w:cs="宋体"/>
          <w:color w:val="auto"/>
          <w:sz w:val="24"/>
          <w:highlight w:val="none"/>
        </w:rPr>
        <w:t>参加比选活动前三年内，在经营活动中没有重大违法记录的承诺函（格式）</w:t>
      </w:r>
    </w:p>
    <w:p w14:paraId="06A1251B">
      <w:pPr>
        <w:jc w:val="center"/>
        <w:rPr>
          <w:rFonts w:hint="eastAsia" w:ascii="宋体" w:hAnsi="宋体" w:cs="宋体"/>
          <w:color w:val="auto"/>
          <w:sz w:val="24"/>
          <w:highlight w:val="none"/>
        </w:rPr>
      </w:pPr>
    </w:p>
    <w:p w14:paraId="60789AE6">
      <w:pPr>
        <w:jc w:val="center"/>
        <w:rPr>
          <w:rFonts w:hint="eastAsia" w:ascii="宋体" w:hAnsi="宋体" w:cs="宋体"/>
          <w:color w:val="auto"/>
          <w:sz w:val="24"/>
          <w:highlight w:val="none"/>
        </w:rPr>
      </w:pPr>
    </w:p>
    <w:p w14:paraId="2697F685">
      <w:pPr>
        <w:jc w:val="center"/>
        <w:rPr>
          <w:rFonts w:hint="eastAsia" w:ascii="宋体" w:hAnsi="宋体" w:cs="宋体"/>
          <w:color w:val="auto"/>
          <w:sz w:val="24"/>
          <w:highlight w:val="none"/>
        </w:rPr>
      </w:pPr>
    </w:p>
    <w:p w14:paraId="681C3891">
      <w:pP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（比选人）</w:t>
      </w:r>
      <w:r>
        <w:rPr>
          <w:rFonts w:hint="eastAsia" w:ascii="宋体" w:hAnsi="宋体" w:cs="宋体"/>
          <w:color w:val="auto"/>
          <w:sz w:val="24"/>
          <w:highlight w:val="none"/>
        </w:rPr>
        <w:t xml:space="preserve">： </w:t>
      </w:r>
    </w:p>
    <w:p w14:paraId="04E5E75D">
      <w:pPr>
        <w:spacing w:line="360" w:lineRule="auto"/>
        <w:ind w:firstLine="600" w:firstLineChars="250"/>
        <w:jc w:val="left"/>
        <w:rPr>
          <w:rFonts w:hint="eastAsia" w:ascii="宋体" w:hAnsi="宋体" w:cs="宋体"/>
          <w:color w:val="auto"/>
          <w:sz w:val="24"/>
          <w:highlight w:val="none"/>
        </w:rPr>
      </w:pPr>
    </w:p>
    <w:p w14:paraId="4299A6C5">
      <w:pPr>
        <w:spacing w:line="360" w:lineRule="auto"/>
        <w:ind w:firstLine="600" w:firstLineChars="250"/>
        <w:jc w:val="left"/>
        <w:rPr>
          <w:rFonts w:hint="eastAsia" w:ascii="宋体" w:hAnsi="宋体" w:cs="宋体"/>
          <w:color w:val="auto"/>
          <w:sz w:val="24"/>
          <w:highlight w:val="none"/>
        </w:rPr>
      </w:pPr>
      <w:r>
        <w:rPr>
          <w:rFonts w:hint="eastAsia" w:ascii="宋体" w:hAnsi="宋体" w:cs="宋体"/>
          <w:color w:val="auto"/>
          <w:sz w:val="24"/>
          <w:highlight w:val="none"/>
        </w:rPr>
        <w:t xml:space="preserve">我公司在参加本次比选活动前三年内，在经营活动中没有因违法经营受到刑事处罚或者责令停产停业、吊销许可证或者执照、较大数额罚款等重大违法记录。 </w:t>
      </w:r>
    </w:p>
    <w:p w14:paraId="2D4031E4">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 xml:space="preserve">特此承诺！ </w:t>
      </w:r>
    </w:p>
    <w:p w14:paraId="2672265B">
      <w:pPr>
        <w:spacing w:line="360" w:lineRule="auto"/>
        <w:jc w:val="center"/>
        <w:rPr>
          <w:rFonts w:hint="eastAsia" w:ascii="宋体" w:hAnsi="宋体" w:cs="宋体"/>
          <w:color w:val="auto"/>
          <w:sz w:val="24"/>
          <w:highlight w:val="none"/>
        </w:rPr>
      </w:pPr>
    </w:p>
    <w:p w14:paraId="7E2C5664">
      <w:pPr>
        <w:spacing w:line="360" w:lineRule="auto"/>
        <w:jc w:val="center"/>
        <w:rPr>
          <w:rFonts w:hint="eastAsia" w:ascii="宋体" w:hAnsi="宋体" w:cs="宋体"/>
          <w:color w:val="auto"/>
          <w:sz w:val="24"/>
          <w:highlight w:val="none"/>
        </w:rPr>
      </w:pPr>
    </w:p>
    <w:p w14:paraId="634A9EBC">
      <w:pPr>
        <w:spacing w:line="239" w:lineRule="auto"/>
        <w:ind w:left="4940"/>
        <w:rPr>
          <w:rFonts w:hint="eastAsia" w:ascii="宋体" w:hAnsi="宋体" w:cs="宋体"/>
          <w:color w:val="auto"/>
          <w:sz w:val="24"/>
          <w:highlight w:val="none"/>
        </w:rPr>
      </w:pPr>
      <w:r>
        <w:rPr>
          <w:rFonts w:hint="eastAsia" w:ascii="宋体" w:hAnsi="宋体" w:cs="宋体"/>
          <w:color w:val="auto"/>
          <w:sz w:val="24"/>
          <w:highlight w:val="none"/>
        </w:rPr>
        <w:t xml:space="preserve">             参选人名称:</w:t>
      </w:r>
    </w:p>
    <w:p w14:paraId="34E08B14">
      <w:pPr>
        <w:pStyle w:val="5"/>
        <w:rPr>
          <w:rFonts w:hint="eastAsia" w:ascii="宋体" w:hAnsi="宋体" w:cs="宋体"/>
          <w:color w:val="auto"/>
          <w:sz w:val="24"/>
          <w:highlight w:val="none"/>
        </w:rPr>
      </w:pPr>
    </w:p>
    <w:p w14:paraId="1C60D1FF">
      <w:pPr>
        <w:spacing w:line="162" w:lineRule="exact"/>
        <w:rPr>
          <w:rFonts w:hint="eastAsia" w:ascii="宋体" w:hAnsi="宋体" w:cs="宋体"/>
          <w:color w:val="auto"/>
          <w:sz w:val="24"/>
          <w:highlight w:val="none"/>
        </w:rPr>
      </w:pPr>
    </w:p>
    <w:p w14:paraId="361278F4">
      <w:pPr>
        <w:spacing w:line="239" w:lineRule="auto"/>
        <w:jc w:val="right"/>
        <w:rPr>
          <w:rFonts w:hint="eastAsia" w:ascii="宋体" w:hAnsi="宋体" w:cs="宋体"/>
          <w:color w:val="auto"/>
          <w:sz w:val="24"/>
          <w:highlight w:val="none"/>
        </w:rPr>
      </w:pPr>
      <w:r>
        <w:rPr>
          <w:rFonts w:hint="eastAsia" w:ascii="宋体" w:hAnsi="宋体" w:cs="宋体"/>
          <w:color w:val="auto"/>
          <w:sz w:val="24"/>
          <w:highlight w:val="none"/>
        </w:rPr>
        <w:t>法人代表或被授权人签字：</w:t>
      </w:r>
    </w:p>
    <w:p w14:paraId="790A3863">
      <w:pPr>
        <w:pStyle w:val="5"/>
        <w:rPr>
          <w:rFonts w:hint="eastAsia" w:ascii="宋体" w:hAnsi="宋体" w:cs="宋体"/>
          <w:color w:val="auto"/>
          <w:sz w:val="24"/>
          <w:highlight w:val="none"/>
        </w:rPr>
      </w:pPr>
    </w:p>
    <w:p w14:paraId="069013D7">
      <w:pPr>
        <w:spacing w:line="162" w:lineRule="exact"/>
        <w:rPr>
          <w:rFonts w:hint="eastAsia" w:ascii="宋体" w:hAnsi="宋体" w:cs="宋体"/>
          <w:color w:val="auto"/>
          <w:sz w:val="24"/>
          <w:highlight w:val="none"/>
        </w:rPr>
      </w:pPr>
    </w:p>
    <w:p w14:paraId="08B42518">
      <w:pPr>
        <w:pStyle w:val="5"/>
        <w:jc w:val="center"/>
        <w:rPr>
          <w:rFonts w:hint="eastAsia" w:ascii="宋体" w:hAnsi="宋体" w:cs="宋体"/>
          <w:bCs/>
          <w:color w:val="auto"/>
          <w:sz w:val="32"/>
          <w:highlight w:val="none"/>
        </w:rPr>
      </w:pPr>
      <w:r>
        <w:rPr>
          <w:rStyle w:val="25"/>
          <w:rFonts w:hint="eastAsia" w:ascii="宋体" w:hAnsi="宋体" w:cs="宋体"/>
          <w:color w:val="auto"/>
          <w:sz w:val="24"/>
          <w:highlight w:val="none"/>
        </w:rPr>
        <w:t xml:space="preserve">                                            日期：</w:t>
      </w:r>
    </w:p>
    <w:p w14:paraId="685506D8">
      <w:pPr>
        <w:pStyle w:val="5"/>
        <w:jc w:val="center"/>
        <w:rPr>
          <w:rFonts w:hint="eastAsia" w:ascii="宋体" w:hAnsi="宋体" w:cs="宋体"/>
          <w:bCs/>
          <w:color w:val="auto"/>
          <w:sz w:val="32"/>
          <w:highlight w:val="none"/>
        </w:rPr>
      </w:pPr>
    </w:p>
    <w:p w14:paraId="4F632E9E">
      <w:pPr>
        <w:spacing w:line="360" w:lineRule="auto"/>
        <w:jc w:val="center"/>
        <w:rPr>
          <w:rFonts w:hint="eastAsia" w:ascii="宋体" w:hAnsi="宋体" w:cs="宋体"/>
          <w:color w:val="auto"/>
          <w:sz w:val="24"/>
          <w:highlight w:val="none"/>
        </w:rPr>
      </w:pPr>
    </w:p>
    <w:p w14:paraId="4929F571">
      <w:pPr>
        <w:spacing w:line="360" w:lineRule="auto"/>
        <w:jc w:val="center"/>
        <w:rPr>
          <w:rFonts w:hint="eastAsia" w:ascii="宋体" w:hAnsi="宋体" w:cs="宋体"/>
          <w:color w:val="auto"/>
          <w:sz w:val="28"/>
          <w:szCs w:val="28"/>
          <w:highlight w:val="none"/>
        </w:rPr>
      </w:pPr>
      <w:r>
        <w:rPr>
          <w:rFonts w:hint="eastAsia" w:ascii="宋体" w:hAnsi="宋体" w:cs="宋体"/>
          <w:color w:val="auto"/>
          <w:sz w:val="24"/>
          <w:highlight w:val="none"/>
        </w:rPr>
        <w:br w:type="page"/>
      </w:r>
      <w:r>
        <w:rPr>
          <w:rFonts w:hint="eastAsia" w:ascii="宋体" w:hAnsi="宋体" w:cs="宋体"/>
          <w:color w:val="auto"/>
          <w:sz w:val="28"/>
          <w:szCs w:val="28"/>
          <w:highlight w:val="none"/>
        </w:rPr>
        <w:t>7.6缴纳</w:t>
      </w:r>
      <w:r>
        <w:rPr>
          <w:rFonts w:hint="eastAsia" w:ascii="宋体" w:hAnsi="宋体" w:cs="宋体"/>
          <w:color w:val="auto"/>
          <w:sz w:val="28"/>
          <w:szCs w:val="28"/>
          <w:highlight w:val="none"/>
          <w:lang w:eastAsia="zh-CN"/>
        </w:rPr>
        <w:t>参选保证金</w:t>
      </w:r>
      <w:r>
        <w:rPr>
          <w:rFonts w:hint="eastAsia" w:ascii="宋体" w:hAnsi="宋体" w:cs="宋体"/>
          <w:color w:val="auto"/>
          <w:sz w:val="28"/>
          <w:szCs w:val="28"/>
          <w:highlight w:val="none"/>
        </w:rPr>
        <w:t>的凭证（格式）</w:t>
      </w:r>
    </w:p>
    <w:p w14:paraId="5A6C38AB">
      <w:pPr>
        <w:rPr>
          <w:rFonts w:hint="eastAsia" w:ascii="宋体" w:hAnsi="宋体" w:cs="宋体"/>
          <w:color w:val="auto"/>
          <w:sz w:val="24"/>
          <w:highlight w:val="none"/>
        </w:rPr>
      </w:pPr>
      <w:r>
        <w:rPr>
          <w:rFonts w:hint="eastAsia" w:ascii="宋体" w:hAnsi="宋体" w:cs="宋体"/>
          <w:color w:val="auto"/>
          <w:sz w:val="24"/>
          <w:highlight w:val="none"/>
        </w:rPr>
        <w:t xml:space="preserve">  </w:t>
      </w:r>
    </w:p>
    <w:p w14:paraId="2406E6F1">
      <w:pPr>
        <w:rPr>
          <w:rFonts w:hint="eastAsia" w:ascii="宋体" w:hAnsi="宋体" w:cs="宋体"/>
          <w:color w:val="auto"/>
          <w:sz w:val="24"/>
          <w:highlight w:val="none"/>
        </w:rPr>
      </w:pPr>
      <w:r>
        <w:rPr>
          <w:rFonts w:hint="eastAsia" w:ascii="宋体" w:hAnsi="宋体" w:cs="宋体"/>
          <w:color w:val="auto"/>
          <w:sz w:val="24"/>
          <w:highlight w:val="none"/>
        </w:rPr>
        <w:t xml:space="preserve"> </w:t>
      </w:r>
    </w:p>
    <w:p w14:paraId="21C74446">
      <w:pPr>
        <w:pStyle w:val="5"/>
        <w:rPr>
          <w:rFonts w:hint="eastAsia" w:ascii="宋体" w:hAnsi="宋体" w:cs="宋体"/>
          <w:color w:val="auto"/>
          <w:kern w:val="2"/>
          <w:sz w:val="24"/>
          <w:highlight w:val="none"/>
          <w:lang w:val="zh-CN"/>
        </w:rPr>
      </w:pPr>
      <w:r>
        <w:rPr>
          <w:rFonts w:hint="eastAsia" w:ascii="宋体" w:hAnsi="宋体" w:cs="宋体"/>
          <w:color w:val="auto"/>
          <w:sz w:val="24"/>
          <w:highlight w:val="none"/>
        </w:rPr>
        <w:t>致：（</w:t>
      </w:r>
      <w:r>
        <w:rPr>
          <w:rFonts w:hint="eastAsia" w:ascii="宋体" w:hAnsi="宋体" w:cs="宋体"/>
          <w:color w:val="auto"/>
          <w:kern w:val="2"/>
          <w:sz w:val="24"/>
          <w:highlight w:val="none"/>
          <w:lang w:val="zh-CN"/>
        </w:rPr>
        <w:t>比选人</w:t>
      </w:r>
      <w:r>
        <w:rPr>
          <w:rFonts w:hint="eastAsia" w:ascii="宋体" w:hAnsi="宋体" w:cs="宋体"/>
          <w:color w:val="auto"/>
          <w:sz w:val="24"/>
          <w:highlight w:val="none"/>
        </w:rPr>
        <w:t>）</w:t>
      </w:r>
    </w:p>
    <w:p w14:paraId="0346F402">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u w:val="single"/>
        </w:rPr>
        <w:t>（参选人全称）</w:t>
      </w:r>
      <w:r>
        <w:rPr>
          <w:rFonts w:hint="eastAsia" w:ascii="宋体" w:hAnsi="宋体" w:cs="宋体"/>
          <w:color w:val="auto"/>
          <w:sz w:val="24"/>
          <w:highlight w:val="none"/>
        </w:rPr>
        <w:t>参加贵方组织</w:t>
      </w:r>
      <w:r>
        <w:rPr>
          <w:rFonts w:hint="eastAsia" w:ascii="宋体" w:hAnsi="宋体" w:cs="宋体"/>
          <w:color w:val="auto"/>
          <w:sz w:val="24"/>
          <w:highlight w:val="none"/>
          <w:u w:val="single"/>
        </w:rPr>
        <w:t>（项目名称）</w:t>
      </w:r>
      <w:r>
        <w:rPr>
          <w:rFonts w:hint="eastAsia" w:ascii="宋体" w:hAnsi="宋体" w:cs="宋体"/>
          <w:color w:val="auto"/>
          <w:sz w:val="24"/>
          <w:highlight w:val="none"/>
        </w:rPr>
        <w:t>，项目编号为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的比选活动。按比选文件的规定，已递交</w:t>
      </w:r>
      <w:r>
        <w:rPr>
          <w:rFonts w:hint="eastAsia" w:ascii="宋体" w:hAnsi="宋体" w:cs="宋体"/>
          <w:color w:val="auto"/>
          <w:sz w:val="24"/>
          <w:highlight w:val="none"/>
          <w:lang w:eastAsia="zh-CN"/>
        </w:rPr>
        <w:t>参选保证金</w:t>
      </w:r>
      <w:r>
        <w:rPr>
          <w:rFonts w:hint="eastAsia" w:ascii="宋体" w:hAnsi="宋体" w:cs="宋体"/>
          <w:color w:val="auto"/>
          <w:sz w:val="24"/>
          <w:highlight w:val="none"/>
        </w:rPr>
        <w:t>。</w:t>
      </w:r>
    </w:p>
    <w:p w14:paraId="36B256DC">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特此证明！</w:t>
      </w:r>
    </w:p>
    <w:p w14:paraId="74B458B2">
      <w:pPr>
        <w:spacing w:line="480" w:lineRule="exact"/>
        <w:jc w:val="right"/>
        <w:rPr>
          <w:rFonts w:hint="eastAsia" w:ascii="宋体" w:hAnsi="宋体" w:cs="宋体"/>
          <w:color w:val="auto"/>
          <w:sz w:val="24"/>
          <w:highlight w:val="none"/>
        </w:rPr>
      </w:pPr>
      <w:r>
        <w:rPr>
          <w:rFonts w:hint="eastAsia" w:ascii="宋体" w:hAnsi="宋体" w:cs="宋体"/>
          <w:color w:val="auto"/>
          <w:sz w:val="24"/>
          <w:highlight w:val="none"/>
        </w:rPr>
        <w:t>参选人名称：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1908182E">
      <w:pPr>
        <w:spacing w:line="480" w:lineRule="exact"/>
        <w:jc w:val="right"/>
        <w:rPr>
          <w:rFonts w:hint="eastAsia" w:ascii="宋体" w:hAnsi="宋体" w:cs="宋体"/>
          <w:color w:val="auto"/>
          <w:sz w:val="24"/>
          <w:highlight w:val="none"/>
        </w:rPr>
      </w:pPr>
      <w:r>
        <w:rPr>
          <w:rFonts w:hint="eastAsia" w:ascii="宋体" w:hAnsi="宋体" w:cs="宋体"/>
          <w:color w:val="auto"/>
          <w:sz w:val="24"/>
          <w:highlight w:val="none"/>
        </w:rPr>
        <w:t xml:space="preserve">    参选人开户银行：</w:t>
      </w:r>
      <w:r>
        <w:rPr>
          <w:rFonts w:hint="eastAsia" w:ascii="宋体" w:hAnsi="宋体" w:cs="宋体"/>
          <w:color w:val="auto"/>
          <w:sz w:val="24"/>
          <w:highlight w:val="none"/>
          <w:u w:val="single"/>
        </w:rPr>
        <w:t xml:space="preserve">                    </w:t>
      </w:r>
    </w:p>
    <w:p w14:paraId="4FD78916">
      <w:pPr>
        <w:spacing w:line="480" w:lineRule="exact"/>
        <w:jc w:val="right"/>
        <w:rPr>
          <w:rFonts w:hint="eastAsia" w:ascii="宋体" w:hAnsi="宋体" w:cs="宋体"/>
          <w:color w:val="auto"/>
          <w:sz w:val="24"/>
          <w:highlight w:val="none"/>
        </w:rPr>
      </w:pPr>
      <w:r>
        <w:rPr>
          <w:rFonts w:hint="eastAsia" w:ascii="宋体" w:hAnsi="宋体" w:cs="宋体"/>
          <w:color w:val="auto"/>
          <w:sz w:val="24"/>
          <w:highlight w:val="none"/>
        </w:rPr>
        <w:t xml:space="preserve">    参选人银行账号：</w:t>
      </w:r>
      <w:r>
        <w:rPr>
          <w:rFonts w:hint="eastAsia" w:ascii="宋体" w:hAnsi="宋体" w:cs="宋体"/>
          <w:color w:val="auto"/>
          <w:sz w:val="24"/>
          <w:highlight w:val="none"/>
          <w:u w:val="single"/>
        </w:rPr>
        <w:t xml:space="preserve">                    </w:t>
      </w:r>
    </w:p>
    <w:tbl>
      <w:tblPr>
        <w:tblStyle w:val="16"/>
        <w:tblW w:w="88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2"/>
      </w:tblGrid>
      <w:tr w14:paraId="68325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7" w:hRule="atLeast"/>
          <w:jc w:val="center"/>
        </w:trPr>
        <w:tc>
          <w:tcPr>
            <w:tcW w:w="8862" w:type="dxa"/>
            <w:noWrap w:val="0"/>
            <w:vAlign w:val="top"/>
          </w:tcPr>
          <w:p w14:paraId="68A4DE08">
            <w:pPr>
              <w:spacing w:line="360" w:lineRule="auto"/>
              <w:rPr>
                <w:rFonts w:hint="eastAsia" w:ascii="宋体" w:hAnsi="宋体" w:cs="宋体"/>
                <w:color w:val="auto"/>
                <w:sz w:val="24"/>
                <w:highlight w:val="none"/>
              </w:rPr>
            </w:pPr>
            <w:r>
              <w:rPr>
                <w:rFonts w:hint="eastAsia" w:ascii="宋体" w:hAnsi="宋体" w:cs="宋体"/>
                <w:color w:val="auto"/>
                <w:sz w:val="24"/>
                <w:highlight w:val="none"/>
              </w:rPr>
              <w:t>附粘贴银行转账凭证加盖公章：</w:t>
            </w:r>
          </w:p>
          <w:p w14:paraId="35DC1580">
            <w:pPr>
              <w:spacing w:line="360" w:lineRule="auto"/>
              <w:rPr>
                <w:rFonts w:hint="eastAsia" w:ascii="宋体" w:hAnsi="宋体" w:cs="宋体"/>
                <w:color w:val="auto"/>
                <w:sz w:val="24"/>
                <w:highlight w:val="none"/>
              </w:rPr>
            </w:pPr>
          </w:p>
        </w:tc>
      </w:tr>
    </w:tbl>
    <w:p w14:paraId="093A1233">
      <w:pPr>
        <w:rPr>
          <w:rFonts w:hint="eastAsia" w:ascii="宋体" w:hAnsi="宋体" w:cs="宋体"/>
          <w:color w:val="auto"/>
          <w:sz w:val="24"/>
          <w:highlight w:val="none"/>
        </w:rPr>
      </w:pPr>
      <w:r>
        <w:rPr>
          <w:rFonts w:hint="eastAsia" w:ascii="宋体" w:hAnsi="宋体" w:cs="宋体"/>
          <w:color w:val="auto"/>
          <w:sz w:val="24"/>
          <w:highlight w:val="none"/>
        </w:rPr>
        <w:t>注：请参选人认真填写银行信息，并要求与银行转账凭证的相关信息一致辞，</w:t>
      </w:r>
      <w:r>
        <w:rPr>
          <w:rFonts w:hint="eastAsia" w:ascii="宋体" w:hAnsi="宋体" w:cs="宋体"/>
          <w:color w:val="auto"/>
          <w:sz w:val="24"/>
          <w:highlight w:val="none"/>
          <w:lang w:val="en-US" w:eastAsia="zh-CN"/>
        </w:rPr>
        <w:t>比选</w:t>
      </w:r>
      <w:r>
        <w:rPr>
          <w:rFonts w:hint="eastAsia" w:ascii="宋体" w:hAnsi="宋体" w:cs="宋体"/>
          <w:color w:val="auto"/>
          <w:sz w:val="24"/>
          <w:highlight w:val="none"/>
        </w:rPr>
        <w:t>代理机构将依据此凭证信息退还</w:t>
      </w:r>
      <w:r>
        <w:rPr>
          <w:rFonts w:hint="eastAsia" w:ascii="宋体" w:hAnsi="宋体" w:cs="宋体"/>
          <w:color w:val="auto"/>
          <w:sz w:val="24"/>
          <w:highlight w:val="none"/>
          <w:lang w:eastAsia="zh-CN"/>
        </w:rPr>
        <w:t>参选保证金</w:t>
      </w:r>
      <w:r>
        <w:rPr>
          <w:rFonts w:hint="eastAsia" w:ascii="宋体" w:hAnsi="宋体" w:cs="宋体"/>
          <w:color w:val="auto"/>
          <w:sz w:val="24"/>
          <w:highlight w:val="none"/>
        </w:rPr>
        <w:t>。</w:t>
      </w:r>
    </w:p>
    <w:p w14:paraId="7CEFC67F">
      <w:pPr>
        <w:pStyle w:val="7"/>
        <w:jc w:val="right"/>
        <w:rPr>
          <w:rFonts w:hint="eastAsia" w:hAnsi="宋体" w:cs="宋体"/>
          <w:color w:val="auto"/>
          <w:sz w:val="24"/>
          <w:highlight w:val="none"/>
        </w:rPr>
      </w:pPr>
    </w:p>
    <w:p w14:paraId="4A50F938">
      <w:pPr>
        <w:pStyle w:val="7"/>
        <w:jc w:val="right"/>
        <w:rPr>
          <w:rFonts w:hint="eastAsia" w:hAnsi="宋体" w:cs="宋体"/>
          <w:color w:val="auto"/>
          <w:sz w:val="24"/>
          <w:highlight w:val="none"/>
        </w:rPr>
      </w:pPr>
      <w:r>
        <w:rPr>
          <w:rFonts w:hint="eastAsia" w:hAnsi="宋体" w:cs="宋体"/>
          <w:color w:val="auto"/>
          <w:sz w:val="24"/>
          <w:highlight w:val="none"/>
          <w:lang w:eastAsia="zh-CN"/>
        </w:rPr>
        <w:t>参选人名称</w:t>
      </w:r>
      <w:r>
        <w:rPr>
          <w:rFonts w:hint="eastAsia" w:hAnsi="宋体" w:cs="宋体"/>
          <w:color w:val="auto"/>
          <w:sz w:val="24"/>
          <w:highlight w:val="none"/>
        </w:rPr>
        <w:t>（公章）：</w:t>
      </w:r>
      <w:r>
        <w:rPr>
          <w:rFonts w:hint="eastAsia" w:hAnsi="宋体" w:cs="宋体"/>
          <w:color w:val="auto"/>
          <w:sz w:val="24"/>
          <w:highlight w:val="none"/>
          <w:u w:val="single"/>
        </w:rPr>
        <w:t xml:space="preserve">                  </w:t>
      </w:r>
    </w:p>
    <w:p w14:paraId="414E1BCD">
      <w:pPr>
        <w:pStyle w:val="7"/>
        <w:jc w:val="right"/>
        <w:rPr>
          <w:rFonts w:hint="eastAsia" w:hAnsi="宋体" w:cs="宋体"/>
          <w:color w:val="auto"/>
          <w:sz w:val="24"/>
          <w:highlight w:val="none"/>
        </w:rPr>
      </w:pPr>
      <w:r>
        <w:rPr>
          <w:rFonts w:hint="eastAsia" w:hAnsi="宋体" w:cs="宋体"/>
          <w:color w:val="auto"/>
          <w:sz w:val="24"/>
          <w:highlight w:val="none"/>
        </w:rPr>
        <w:t xml:space="preserve">           </w:t>
      </w:r>
    </w:p>
    <w:p w14:paraId="1EB95538">
      <w:pPr>
        <w:pStyle w:val="7"/>
        <w:jc w:val="right"/>
        <w:rPr>
          <w:rFonts w:hint="eastAsia" w:hAnsi="宋体" w:cs="宋体"/>
          <w:color w:val="auto"/>
          <w:sz w:val="24"/>
          <w:highlight w:val="none"/>
        </w:rPr>
      </w:pPr>
      <w:r>
        <w:rPr>
          <w:rFonts w:hint="eastAsia" w:hAnsi="宋体" w:cs="宋体"/>
          <w:color w:val="auto"/>
          <w:sz w:val="24"/>
          <w:highlight w:val="none"/>
        </w:rPr>
        <w:t xml:space="preserve"> 法人</w:t>
      </w:r>
      <w:r>
        <w:rPr>
          <w:rFonts w:hint="eastAsia" w:hAnsi="宋体" w:cs="宋体"/>
          <w:color w:val="auto"/>
          <w:sz w:val="24"/>
          <w:highlight w:val="none"/>
          <w:lang w:eastAsia="zh-CN"/>
        </w:rPr>
        <w:t>代表</w:t>
      </w:r>
      <w:r>
        <w:rPr>
          <w:rFonts w:hint="eastAsia" w:hAnsi="宋体" w:cs="宋体"/>
          <w:color w:val="auto"/>
          <w:sz w:val="24"/>
          <w:highlight w:val="none"/>
        </w:rPr>
        <w:t>或</w:t>
      </w:r>
      <w:r>
        <w:rPr>
          <w:rFonts w:hint="eastAsia" w:hAnsi="宋体" w:cs="宋体"/>
          <w:color w:val="auto"/>
          <w:sz w:val="24"/>
          <w:highlight w:val="none"/>
          <w:lang w:eastAsia="zh-CN"/>
        </w:rPr>
        <w:t>被</w:t>
      </w:r>
      <w:r>
        <w:rPr>
          <w:rFonts w:hint="eastAsia" w:hAnsi="宋体" w:cs="宋体"/>
          <w:color w:val="auto"/>
          <w:sz w:val="24"/>
          <w:highlight w:val="none"/>
        </w:rPr>
        <w:t>授权人签字：</w:t>
      </w:r>
      <w:r>
        <w:rPr>
          <w:rFonts w:hint="eastAsia" w:hAnsi="宋体" w:cs="宋体"/>
          <w:color w:val="auto"/>
          <w:sz w:val="24"/>
          <w:highlight w:val="none"/>
          <w:u w:val="single"/>
        </w:rPr>
        <w:t xml:space="preserve">                 </w:t>
      </w:r>
    </w:p>
    <w:p w14:paraId="7D239917">
      <w:pPr>
        <w:pStyle w:val="7"/>
        <w:jc w:val="right"/>
        <w:rPr>
          <w:rFonts w:hint="eastAsia" w:hAnsi="宋体" w:cs="宋体"/>
          <w:color w:val="auto"/>
          <w:sz w:val="24"/>
          <w:highlight w:val="none"/>
        </w:rPr>
      </w:pPr>
    </w:p>
    <w:p w14:paraId="6033365C">
      <w:pPr>
        <w:jc w:val="left"/>
        <w:rPr>
          <w:rFonts w:hint="eastAsia"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日期：</w:t>
      </w:r>
      <w:r>
        <w:rPr>
          <w:rFonts w:hint="eastAsia" w:ascii="宋体" w:hAnsi="宋体" w:cs="宋体"/>
          <w:color w:val="auto"/>
          <w:sz w:val="24"/>
          <w:highlight w:val="none"/>
          <w:u w:val="single"/>
        </w:rPr>
        <w:t>                  </w:t>
      </w:r>
    </w:p>
    <w:p w14:paraId="1464F910">
      <w:pPr>
        <w:jc w:val="center"/>
        <w:rPr>
          <w:rFonts w:hint="eastAsia" w:ascii="宋体" w:hAnsi="宋体" w:cs="宋体"/>
          <w:color w:val="auto"/>
          <w:sz w:val="24"/>
          <w:highlight w:val="none"/>
        </w:rPr>
      </w:pPr>
    </w:p>
    <w:p w14:paraId="00E17AAB">
      <w:pPr>
        <w:jc w:val="center"/>
        <w:rPr>
          <w:rFonts w:hint="eastAsia" w:ascii="宋体" w:hAnsi="宋体" w:cs="宋体"/>
          <w:color w:val="auto"/>
          <w:sz w:val="24"/>
          <w:highlight w:val="none"/>
        </w:rPr>
      </w:pPr>
    </w:p>
    <w:p w14:paraId="29E675C8">
      <w:pPr>
        <w:jc w:val="center"/>
        <w:rPr>
          <w:rFonts w:hint="eastAsia" w:ascii="宋体" w:hAnsi="宋体" w:cs="宋体"/>
          <w:color w:val="auto"/>
          <w:sz w:val="24"/>
          <w:highlight w:val="none"/>
        </w:rPr>
      </w:pPr>
    </w:p>
    <w:p w14:paraId="6CBF4E55">
      <w:pPr>
        <w:jc w:val="center"/>
        <w:rPr>
          <w:rFonts w:hint="eastAsia" w:ascii="宋体" w:hAnsi="宋体" w:cs="宋体"/>
          <w:color w:val="auto"/>
          <w:sz w:val="24"/>
          <w:highlight w:val="none"/>
        </w:rPr>
      </w:pPr>
    </w:p>
    <w:p w14:paraId="5245BEF2">
      <w:pPr>
        <w:jc w:val="center"/>
        <w:rPr>
          <w:rFonts w:hint="eastAsia" w:ascii="宋体" w:hAnsi="宋体" w:cs="宋体"/>
          <w:color w:val="auto"/>
          <w:sz w:val="24"/>
          <w:highlight w:val="none"/>
        </w:rPr>
      </w:pPr>
    </w:p>
    <w:p w14:paraId="17681A00">
      <w:pPr>
        <w:jc w:val="center"/>
        <w:rPr>
          <w:rFonts w:hint="eastAsia" w:ascii="宋体" w:hAnsi="宋体" w:cs="宋体"/>
          <w:color w:val="auto"/>
          <w:sz w:val="24"/>
          <w:highlight w:val="none"/>
        </w:rPr>
      </w:pPr>
    </w:p>
    <w:p w14:paraId="3AD890C0">
      <w:pPr>
        <w:jc w:val="center"/>
        <w:rPr>
          <w:rFonts w:hint="eastAsia" w:ascii="宋体" w:hAnsi="宋体" w:cs="宋体"/>
          <w:b/>
          <w:bCs/>
          <w:color w:val="auto"/>
          <w:sz w:val="28"/>
          <w:szCs w:val="28"/>
          <w:highlight w:val="none"/>
        </w:rPr>
      </w:pPr>
      <w:r>
        <w:rPr>
          <w:rFonts w:hint="eastAsia" w:ascii="宋体" w:hAnsi="宋体" w:cs="宋体"/>
          <w:color w:val="auto"/>
          <w:sz w:val="28"/>
          <w:szCs w:val="28"/>
          <w:highlight w:val="none"/>
        </w:rPr>
        <w:br w:type="page"/>
      </w:r>
      <w:r>
        <w:rPr>
          <w:rFonts w:hint="eastAsia" w:ascii="宋体" w:hAnsi="宋体" w:cs="宋体"/>
          <w:color w:val="auto"/>
          <w:sz w:val="28"/>
          <w:szCs w:val="28"/>
          <w:highlight w:val="none"/>
        </w:rPr>
        <w:t>7.7.1提供法定代表人授权委托书（或法定代表人证明资料）原件及被授权人（或法定代表人）身份证</w:t>
      </w:r>
    </w:p>
    <w:p w14:paraId="4126224F">
      <w:pPr>
        <w:jc w:val="center"/>
        <w:rPr>
          <w:rFonts w:hint="eastAsia" w:ascii="宋体" w:hAnsi="宋体" w:cs="宋体"/>
          <w:b/>
          <w:bCs/>
          <w:color w:val="auto"/>
          <w:sz w:val="24"/>
          <w:highlight w:val="none"/>
        </w:rPr>
      </w:pPr>
      <w:r>
        <w:rPr>
          <w:rFonts w:hint="eastAsia" w:ascii="宋体" w:hAnsi="宋体" w:cs="宋体"/>
          <w:b/>
          <w:bCs/>
          <w:color w:val="auto"/>
          <w:sz w:val="24"/>
          <w:highlight w:val="none"/>
        </w:rPr>
        <w:t>(提供法定代表人证书或法定代表人授权委托书、被授权人身份证复印件加盖公章，原件备查。）</w:t>
      </w:r>
    </w:p>
    <w:p w14:paraId="61A5ABAF">
      <w:pPr>
        <w:jc w:val="center"/>
        <w:rPr>
          <w:rFonts w:hint="eastAsia" w:ascii="宋体" w:hAnsi="宋体" w:cs="宋体"/>
          <w:b/>
          <w:bCs/>
          <w:color w:val="auto"/>
          <w:sz w:val="24"/>
          <w:highlight w:val="none"/>
        </w:rPr>
      </w:pPr>
    </w:p>
    <w:p w14:paraId="0D81248D">
      <w:pPr>
        <w:jc w:val="center"/>
        <w:rPr>
          <w:rFonts w:hint="eastAsia" w:ascii="宋体" w:hAnsi="宋体" w:cs="宋体"/>
          <w:bCs/>
          <w:color w:val="auto"/>
          <w:sz w:val="24"/>
          <w:highlight w:val="none"/>
        </w:rPr>
      </w:pPr>
      <w:r>
        <w:rPr>
          <w:rFonts w:hint="eastAsia" w:ascii="宋体" w:hAnsi="宋体" w:cs="宋体"/>
          <w:bCs/>
          <w:color w:val="auto"/>
          <w:sz w:val="24"/>
          <w:highlight w:val="none"/>
        </w:rPr>
        <w:t>法定代表人授权书（格式）</w:t>
      </w:r>
    </w:p>
    <w:p w14:paraId="14D29E1A">
      <w:pPr>
        <w:jc w:val="center"/>
        <w:rPr>
          <w:rFonts w:hint="eastAsia" w:ascii="宋体" w:hAnsi="宋体" w:cs="宋体"/>
          <w:bCs/>
          <w:color w:val="auto"/>
          <w:sz w:val="24"/>
          <w:highlight w:val="none"/>
        </w:rPr>
      </w:pPr>
    </w:p>
    <w:p w14:paraId="62D9D3B5">
      <w:pPr>
        <w:jc w:val="left"/>
        <w:rPr>
          <w:rFonts w:hint="eastAsia" w:ascii="宋体" w:hAnsi="宋体" w:cs="宋体"/>
          <w:bCs/>
          <w:color w:val="auto"/>
          <w:sz w:val="24"/>
          <w:highlight w:val="none"/>
        </w:rPr>
      </w:pPr>
      <w:r>
        <w:rPr>
          <w:rFonts w:hint="eastAsia" w:ascii="宋体" w:hAnsi="宋体" w:cs="宋体"/>
          <w:bCs/>
          <w:color w:val="auto"/>
          <w:sz w:val="24"/>
          <w:highlight w:val="none"/>
        </w:rPr>
        <w:t>致：（比选单位）</w:t>
      </w:r>
    </w:p>
    <w:p w14:paraId="49784031">
      <w:pPr>
        <w:spacing w:line="360" w:lineRule="auto"/>
        <w:jc w:val="center"/>
        <w:rPr>
          <w:rFonts w:hint="eastAsia" w:ascii="宋体" w:hAnsi="宋体" w:cs="宋体"/>
          <w:bCs/>
          <w:color w:val="auto"/>
          <w:sz w:val="24"/>
          <w:highlight w:val="none"/>
          <w:u w:val="single"/>
        </w:rPr>
      </w:pPr>
    </w:p>
    <w:p w14:paraId="405A57B9">
      <w:pPr>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 xml:space="preserve">   </w:t>
      </w:r>
      <w:r>
        <w:rPr>
          <w:rFonts w:hint="eastAsia" w:ascii="宋体" w:hAnsi="宋体" w:cs="宋体"/>
          <w:bCs/>
          <w:color w:val="auto"/>
          <w:sz w:val="24"/>
          <w:highlight w:val="none"/>
          <w:u w:val="single"/>
        </w:rPr>
        <w:t>（参选单位全称）</w:t>
      </w:r>
      <w:r>
        <w:rPr>
          <w:rFonts w:hint="eastAsia" w:ascii="宋体" w:hAnsi="宋体" w:cs="宋体"/>
          <w:bCs/>
          <w:color w:val="auto"/>
          <w:sz w:val="24"/>
          <w:highlight w:val="none"/>
        </w:rPr>
        <w:t>法定代表人</w:t>
      </w:r>
      <w:r>
        <w:rPr>
          <w:rFonts w:hint="eastAsia" w:ascii="宋体" w:hAnsi="宋体" w:cs="宋体"/>
          <w:bCs/>
          <w:color w:val="auto"/>
          <w:sz w:val="24"/>
          <w:highlight w:val="none"/>
          <w:u w:val="single"/>
        </w:rPr>
        <w:t xml:space="preserve">  （姓名）  </w:t>
      </w:r>
      <w:r>
        <w:rPr>
          <w:rFonts w:hint="eastAsia" w:ascii="宋体" w:hAnsi="宋体" w:cs="宋体"/>
          <w:bCs/>
          <w:color w:val="auto"/>
          <w:sz w:val="24"/>
          <w:highlight w:val="none"/>
        </w:rPr>
        <w:t>授权</w:t>
      </w:r>
      <w:r>
        <w:rPr>
          <w:rFonts w:hint="eastAsia" w:ascii="宋体" w:hAnsi="宋体" w:cs="宋体"/>
          <w:bCs/>
          <w:color w:val="auto"/>
          <w:sz w:val="24"/>
          <w:highlight w:val="none"/>
          <w:u w:val="single"/>
        </w:rPr>
        <w:t>（参选单位代表姓名）</w:t>
      </w:r>
      <w:r>
        <w:rPr>
          <w:rFonts w:hint="eastAsia" w:ascii="宋体" w:hAnsi="宋体" w:cs="宋体"/>
          <w:bCs/>
          <w:color w:val="auto"/>
          <w:sz w:val="24"/>
          <w:highlight w:val="none"/>
        </w:rPr>
        <w:t>为参选单位代表，代表本公司参加贵处组织的</w:t>
      </w:r>
      <w:r>
        <w:rPr>
          <w:rFonts w:hint="eastAsia" w:ascii="宋体" w:hAnsi="宋体" w:cs="宋体"/>
          <w:bCs/>
          <w:color w:val="auto"/>
          <w:sz w:val="24"/>
          <w:highlight w:val="none"/>
          <w:u w:val="single"/>
        </w:rPr>
        <w:t xml:space="preserve">  （项目名称，项目编号） </w:t>
      </w:r>
      <w:r>
        <w:rPr>
          <w:rFonts w:hint="eastAsia" w:ascii="宋体" w:hAnsi="宋体" w:cs="宋体"/>
          <w:bCs/>
          <w:color w:val="auto"/>
          <w:sz w:val="24"/>
          <w:highlight w:val="none"/>
        </w:rPr>
        <w:t>比选活动，全权代表我方处理参选过程的一切事宜。参选单位代表在参选过程中所签署的一切文件和处理与之有关的一切事务，我均予以承认。参选单位代表无转委托权。特此授权。</w:t>
      </w:r>
    </w:p>
    <w:p w14:paraId="39F646D4">
      <w:pPr>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 xml:space="preserve">   </w:t>
      </w:r>
    </w:p>
    <w:p w14:paraId="194EE008">
      <w:pPr>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 xml:space="preserve">                                     参选人名称：</w:t>
      </w:r>
      <w:r>
        <w:rPr>
          <w:rFonts w:hint="eastAsia" w:ascii="宋体" w:hAnsi="宋体" w:cs="宋体"/>
          <w:bCs/>
          <w:color w:val="auto"/>
          <w:sz w:val="24"/>
          <w:highlight w:val="none"/>
          <w:u w:val="single"/>
        </w:rPr>
        <w:t xml:space="preserve">   (全称并加盖公章) </w:t>
      </w:r>
    </w:p>
    <w:p w14:paraId="05D63DC6">
      <w:pPr>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 xml:space="preserve">                          参选人法定代表人：</w:t>
      </w:r>
      <w:r>
        <w:rPr>
          <w:rFonts w:hint="eastAsia" w:ascii="宋体" w:hAnsi="宋体" w:cs="宋体"/>
          <w:bCs/>
          <w:color w:val="auto"/>
          <w:sz w:val="24"/>
          <w:highlight w:val="none"/>
          <w:u w:val="single"/>
        </w:rPr>
        <w:t xml:space="preserve">     （签字或盖章）       </w:t>
      </w:r>
    </w:p>
    <w:p w14:paraId="03E2294C">
      <w:pPr>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 xml:space="preserve">                              </w:t>
      </w:r>
      <w:r>
        <w:rPr>
          <w:rFonts w:hint="eastAsia" w:ascii="宋体" w:hAnsi="宋体" w:cs="宋体"/>
          <w:bCs/>
          <w:color w:val="auto"/>
          <w:sz w:val="24"/>
          <w:highlight w:val="none"/>
          <w:lang w:val="en-US" w:eastAsia="zh-CN"/>
        </w:rPr>
        <w:t xml:space="preserve">           </w:t>
      </w:r>
      <w:r>
        <w:rPr>
          <w:rFonts w:hint="eastAsia" w:ascii="宋体" w:hAnsi="宋体" w:cs="宋体"/>
          <w:bCs/>
          <w:color w:val="auto"/>
          <w:sz w:val="24"/>
          <w:highlight w:val="none"/>
        </w:rPr>
        <w:t xml:space="preserve"> 日期：</w:t>
      </w:r>
      <w:r>
        <w:rPr>
          <w:rFonts w:hint="eastAsia" w:ascii="宋体" w:hAnsi="宋体" w:cs="宋体"/>
          <w:bCs/>
          <w:color w:val="auto"/>
          <w:sz w:val="24"/>
          <w:highlight w:val="none"/>
          <w:u w:val="single"/>
        </w:rPr>
        <w:t>                  </w:t>
      </w:r>
    </w:p>
    <w:p w14:paraId="5DDE8671">
      <w:pPr>
        <w:spacing w:line="360" w:lineRule="auto"/>
        <w:jc w:val="left"/>
        <w:rPr>
          <w:rFonts w:hint="eastAsia" w:ascii="宋体" w:hAnsi="宋体" w:cs="宋体"/>
          <w:bCs/>
          <w:color w:val="auto"/>
          <w:sz w:val="24"/>
          <w:highlight w:val="none"/>
        </w:rPr>
      </w:pPr>
      <w:r>
        <w:rPr>
          <w:rFonts w:hint="eastAsia" w:ascii="宋体" w:hAnsi="宋体" w:cs="宋体"/>
          <w:bCs/>
          <w:color w:val="auto"/>
          <w:sz w:val="24"/>
          <w:highlight w:val="none"/>
        </w:rPr>
        <w:t>附：</w:t>
      </w:r>
    </w:p>
    <w:p w14:paraId="3FC90A29">
      <w:pPr>
        <w:spacing w:line="360" w:lineRule="auto"/>
        <w:jc w:val="left"/>
        <w:rPr>
          <w:rFonts w:hint="eastAsia" w:ascii="宋体" w:hAnsi="宋体" w:cs="宋体"/>
          <w:bCs/>
          <w:color w:val="auto"/>
          <w:sz w:val="24"/>
          <w:highlight w:val="none"/>
          <w:u w:val="single"/>
        </w:rPr>
      </w:pPr>
      <w:r>
        <w:rPr>
          <w:rFonts w:hint="eastAsia" w:ascii="宋体" w:hAnsi="宋体" w:cs="宋体"/>
          <w:bCs/>
          <w:color w:val="auto"/>
          <w:sz w:val="24"/>
          <w:highlight w:val="none"/>
        </w:rPr>
        <w:t>全权代表姓名：</w:t>
      </w:r>
      <w:r>
        <w:rPr>
          <w:rFonts w:hint="eastAsia" w:ascii="宋体" w:hAnsi="宋体" w:cs="宋体"/>
          <w:bCs/>
          <w:color w:val="auto"/>
          <w:sz w:val="24"/>
          <w:highlight w:val="none"/>
          <w:u w:val="single"/>
        </w:rPr>
        <w:t xml:space="preserve">                   </w:t>
      </w:r>
    </w:p>
    <w:p w14:paraId="5F75202A">
      <w:pPr>
        <w:spacing w:line="360" w:lineRule="auto"/>
        <w:jc w:val="left"/>
        <w:rPr>
          <w:rFonts w:hint="eastAsia" w:ascii="宋体" w:hAnsi="宋体" w:cs="宋体"/>
          <w:bCs/>
          <w:color w:val="auto"/>
          <w:sz w:val="24"/>
          <w:highlight w:val="none"/>
        </w:rPr>
      </w:pPr>
      <w:r>
        <w:rPr>
          <w:rFonts w:hint="eastAsia" w:ascii="宋体" w:hAnsi="宋体" w:cs="宋体"/>
          <w:bCs/>
          <w:color w:val="auto"/>
          <w:sz w:val="24"/>
          <w:highlight w:val="none"/>
        </w:rPr>
        <w:t>职       务 ：</w:t>
      </w:r>
      <w:r>
        <w:rPr>
          <w:rFonts w:hint="eastAsia" w:ascii="宋体" w:hAnsi="宋体" w:cs="宋体"/>
          <w:bCs/>
          <w:color w:val="auto"/>
          <w:sz w:val="24"/>
          <w:highlight w:val="none"/>
          <w:u w:val="single"/>
        </w:rPr>
        <w:t xml:space="preserve">                  </w:t>
      </w:r>
    </w:p>
    <w:p w14:paraId="2671092C">
      <w:pPr>
        <w:spacing w:line="360" w:lineRule="auto"/>
        <w:jc w:val="left"/>
        <w:rPr>
          <w:rFonts w:hint="eastAsia" w:ascii="宋体" w:hAnsi="宋体" w:cs="宋体"/>
          <w:bCs/>
          <w:color w:val="auto"/>
          <w:sz w:val="24"/>
          <w:highlight w:val="none"/>
          <w:u w:val="single"/>
        </w:rPr>
      </w:pPr>
      <w:r>
        <w:rPr>
          <w:rFonts w:hint="eastAsia" w:ascii="宋体" w:hAnsi="宋体" w:cs="宋体"/>
          <w:bCs/>
          <w:color w:val="auto"/>
          <w:sz w:val="24"/>
          <w:highlight w:val="none"/>
        </w:rPr>
        <w:t>电        话：</w:t>
      </w:r>
      <w:r>
        <w:rPr>
          <w:rFonts w:hint="eastAsia" w:ascii="宋体" w:hAnsi="宋体" w:cs="宋体"/>
          <w:bCs/>
          <w:color w:val="auto"/>
          <w:sz w:val="24"/>
          <w:highlight w:val="none"/>
          <w:u w:val="single"/>
        </w:rPr>
        <w:t xml:space="preserve">                     </w:t>
      </w:r>
    </w:p>
    <w:p w14:paraId="5F9E40E4">
      <w:pPr>
        <w:spacing w:line="360" w:lineRule="auto"/>
        <w:jc w:val="left"/>
        <w:rPr>
          <w:rFonts w:hint="eastAsia" w:ascii="宋体" w:hAnsi="宋体" w:cs="宋体"/>
          <w:bCs/>
          <w:color w:val="auto"/>
          <w:sz w:val="24"/>
          <w:highlight w:val="none"/>
          <w:u w:val="single"/>
        </w:rPr>
      </w:pPr>
      <w:r>
        <w:rPr>
          <w:rFonts w:hint="eastAsia" w:ascii="宋体" w:hAnsi="宋体" w:cs="宋体"/>
          <w:bCs/>
          <w:color w:val="auto"/>
          <w:sz w:val="24"/>
          <w:highlight w:val="none"/>
        </w:rPr>
        <w:t>详细通讯地址：</w:t>
      </w:r>
      <w:r>
        <w:rPr>
          <w:rFonts w:hint="eastAsia" w:ascii="宋体" w:hAnsi="宋体" w:cs="宋体"/>
          <w:bCs/>
          <w:color w:val="auto"/>
          <w:sz w:val="24"/>
          <w:highlight w:val="none"/>
          <w:u w:val="single"/>
        </w:rPr>
        <w:t xml:space="preserve">                     </w:t>
      </w:r>
    </w:p>
    <w:p w14:paraId="74F59AF0">
      <w:pPr>
        <w:spacing w:line="360" w:lineRule="auto"/>
        <w:jc w:val="left"/>
        <w:rPr>
          <w:rFonts w:hint="eastAsia" w:ascii="宋体" w:hAnsi="宋体" w:cs="宋体"/>
          <w:color w:val="auto"/>
          <w:highlight w:val="none"/>
        </w:rPr>
      </w:pPr>
      <w:r>
        <w:rPr>
          <w:rFonts w:hint="eastAsia" w:ascii="宋体" w:hAnsi="宋体" w:cs="宋体"/>
          <w:bCs/>
          <w:color w:val="auto"/>
          <w:sz w:val="24"/>
          <w:highlight w:val="none"/>
        </w:rPr>
        <w:t>邮 政 编 码 ：</w:t>
      </w:r>
      <w:r>
        <w:rPr>
          <w:rFonts w:hint="eastAsia" w:ascii="宋体" w:hAnsi="宋体" w:cs="宋体"/>
          <w:bCs/>
          <w:color w:val="auto"/>
          <w:sz w:val="24"/>
          <w:highlight w:val="none"/>
          <w:u w:val="single"/>
        </w:rPr>
        <w:t xml:space="preserve">                    </w:t>
      </w:r>
    </w:p>
    <w:tbl>
      <w:tblPr>
        <w:tblStyle w:val="16"/>
        <w:tblW w:w="82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0"/>
      </w:tblGrid>
      <w:tr w14:paraId="57E1F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3" w:hRule="atLeast"/>
          <w:jc w:val="center"/>
        </w:trPr>
        <w:tc>
          <w:tcPr>
            <w:tcW w:w="8220" w:type="dxa"/>
            <w:noWrap w:val="0"/>
            <w:vAlign w:val="top"/>
          </w:tcPr>
          <w:p w14:paraId="62F83EDE">
            <w:pPr>
              <w:spacing w:line="360" w:lineRule="auto"/>
              <w:jc w:val="center"/>
              <w:rPr>
                <w:rFonts w:hint="eastAsia" w:ascii="宋体" w:hAnsi="宋体" w:cs="宋体"/>
                <w:bCs/>
                <w:color w:val="auto"/>
                <w:sz w:val="24"/>
                <w:highlight w:val="none"/>
              </w:rPr>
            </w:pPr>
          </w:p>
          <w:p w14:paraId="63D141AC">
            <w:pPr>
              <w:spacing w:line="360" w:lineRule="auto"/>
              <w:jc w:val="center"/>
              <w:rPr>
                <w:rFonts w:hint="eastAsia" w:ascii="宋体" w:hAnsi="宋体" w:cs="宋体"/>
                <w:bCs/>
                <w:color w:val="auto"/>
                <w:sz w:val="24"/>
                <w:highlight w:val="none"/>
              </w:rPr>
            </w:pPr>
          </w:p>
          <w:p w14:paraId="415AD6AB">
            <w:pPr>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法定代表人身份证、被授权人身份证（原件扫描件）</w:t>
            </w:r>
          </w:p>
          <w:p w14:paraId="18F9ABDE">
            <w:pPr>
              <w:spacing w:line="360" w:lineRule="auto"/>
              <w:jc w:val="center"/>
              <w:rPr>
                <w:rFonts w:hint="eastAsia" w:ascii="宋体" w:hAnsi="宋体" w:cs="宋体"/>
                <w:bCs/>
                <w:color w:val="auto"/>
                <w:sz w:val="24"/>
                <w:highlight w:val="none"/>
              </w:rPr>
            </w:pPr>
          </w:p>
        </w:tc>
      </w:tr>
    </w:tbl>
    <w:p w14:paraId="5B6380D0">
      <w:pPr>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7.7.2通过“信用中国”网站-信用服务查询相关主体信用记录，被列入失信被执行人、政府采购严重违法失信行为记录名单（处罚期限尚未届满的）、重大税收违法失信主体的参选人和通过中国政府采购网查询相关主体信用记录，被列入政府采购严重违法失信行为记录名单（处罚期限尚未届满的）的参选人，不得参与本项目的比选活动；</w:t>
      </w:r>
    </w:p>
    <w:p w14:paraId="524DA300">
      <w:pPr>
        <w:jc w:val="center"/>
        <w:rPr>
          <w:rFonts w:hint="eastAsia" w:ascii="宋体" w:hAnsi="宋体" w:cs="宋体"/>
          <w:color w:val="auto"/>
          <w:sz w:val="24"/>
          <w:highlight w:val="none"/>
        </w:rPr>
      </w:pPr>
    </w:p>
    <w:p w14:paraId="0AA19A2D">
      <w:pPr>
        <w:jc w:val="center"/>
        <w:rPr>
          <w:rFonts w:hint="eastAsia" w:ascii="宋体" w:hAnsi="宋体" w:cs="宋体"/>
          <w:color w:val="auto"/>
          <w:sz w:val="24"/>
          <w:highlight w:val="none"/>
        </w:rPr>
      </w:pPr>
      <w:r>
        <w:rPr>
          <w:rFonts w:hint="eastAsia" w:ascii="宋体" w:hAnsi="宋体" w:cs="宋体"/>
          <w:b/>
          <w:bCs/>
          <w:color w:val="auto"/>
          <w:sz w:val="24"/>
          <w:highlight w:val="none"/>
        </w:rPr>
        <w:t>【提供截图加盖公章】</w:t>
      </w:r>
    </w:p>
    <w:p w14:paraId="39AACFF6">
      <w:pPr>
        <w:jc w:val="center"/>
        <w:rPr>
          <w:rFonts w:hint="eastAsia" w:ascii="宋体" w:hAnsi="宋体" w:cs="宋体"/>
          <w:color w:val="auto"/>
          <w:sz w:val="24"/>
          <w:highlight w:val="none"/>
        </w:rPr>
      </w:pPr>
    </w:p>
    <w:p w14:paraId="44B306A7">
      <w:pPr>
        <w:jc w:val="center"/>
        <w:rPr>
          <w:rFonts w:hint="eastAsia" w:ascii="宋体" w:hAnsi="宋体" w:cs="宋体"/>
          <w:color w:val="auto"/>
          <w:sz w:val="24"/>
          <w:highlight w:val="none"/>
        </w:rPr>
      </w:pPr>
    </w:p>
    <w:p w14:paraId="14048C17">
      <w:pPr>
        <w:jc w:val="center"/>
        <w:rPr>
          <w:rFonts w:hint="eastAsia" w:ascii="宋体" w:hAnsi="宋体" w:cs="宋体"/>
          <w:color w:val="auto"/>
          <w:sz w:val="24"/>
          <w:highlight w:val="none"/>
        </w:rPr>
      </w:pPr>
    </w:p>
    <w:p w14:paraId="30F17F56">
      <w:pPr>
        <w:jc w:val="center"/>
        <w:rPr>
          <w:rFonts w:hint="eastAsia" w:ascii="宋体" w:hAnsi="宋体" w:cs="宋体"/>
          <w:color w:val="auto"/>
          <w:sz w:val="24"/>
          <w:highlight w:val="none"/>
        </w:rPr>
      </w:pPr>
    </w:p>
    <w:p w14:paraId="7198D3EF">
      <w:pPr>
        <w:jc w:val="center"/>
        <w:rPr>
          <w:rFonts w:hint="eastAsia" w:ascii="宋体" w:hAnsi="宋体" w:cs="宋体"/>
          <w:color w:val="auto"/>
          <w:sz w:val="24"/>
          <w:highlight w:val="none"/>
        </w:rPr>
      </w:pPr>
    </w:p>
    <w:p w14:paraId="3C5743D3">
      <w:pPr>
        <w:jc w:val="center"/>
        <w:rPr>
          <w:rFonts w:hint="eastAsia" w:ascii="宋体" w:hAnsi="宋体" w:cs="宋体"/>
          <w:color w:val="auto"/>
          <w:sz w:val="24"/>
          <w:highlight w:val="none"/>
        </w:rPr>
      </w:pPr>
    </w:p>
    <w:p w14:paraId="6D078904">
      <w:pPr>
        <w:jc w:val="center"/>
        <w:rPr>
          <w:rFonts w:hint="eastAsia" w:ascii="宋体" w:hAnsi="宋体" w:cs="宋体"/>
          <w:color w:val="auto"/>
          <w:sz w:val="24"/>
          <w:highlight w:val="none"/>
        </w:rPr>
      </w:pPr>
    </w:p>
    <w:p w14:paraId="4EC270A7">
      <w:pPr>
        <w:jc w:val="center"/>
        <w:rPr>
          <w:rFonts w:hint="eastAsia" w:ascii="宋体" w:hAnsi="宋体" w:cs="宋体"/>
          <w:color w:val="auto"/>
          <w:sz w:val="24"/>
          <w:highlight w:val="none"/>
        </w:rPr>
      </w:pPr>
    </w:p>
    <w:p w14:paraId="04A10914">
      <w:pPr>
        <w:jc w:val="center"/>
        <w:rPr>
          <w:rFonts w:hint="eastAsia" w:ascii="宋体" w:hAnsi="宋体" w:cs="宋体"/>
          <w:color w:val="auto"/>
          <w:sz w:val="24"/>
          <w:highlight w:val="none"/>
        </w:rPr>
      </w:pPr>
    </w:p>
    <w:p w14:paraId="4A2A8F65">
      <w:pPr>
        <w:jc w:val="center"/>
        <w:rPr>
          <w:rFonts w:hint="eastAsia" w:ascii="宋体" w:hAnsi="宋体" w:cs="宋体"/>
          <w:color w:val="auto"/>
          <w:sz w:val="24"/>
          <w:highlight w:val="none"/>
        </w:rPr>
      </w:pPr>
    </w:p>
    <w:p w14:paraId="1E4A480F">
      <w:pPr>
        <w:pStyle w:val="21"/>
        <w:rPr>
          <w:rFonts w:hint="eastAsia" w:hAnsi="宋体" w:cs="宋体"/>
          <w:color w:val="auto"/>
          <w:sz w:val="24"/>
          <w:szCs w:val="24"/>
          <w:highlight w:val="none"/>
        </w:rPr>
      </w:pPr>
    </w:p>
    <w:p w14:paraId="5493216C">
      <w:pPr>
        <w:pStyle w:val="21"/>
        <w:rPr>
          <w:rFonts w:hint="eastAsia" w:hAnsi="宋体" w:cs="宋体"/>
          <w:color w:val="auto"/>
          <w:sz w:val="24"/>
          <w:szCs w:val="24"/>
          <w:highlight w:val="none"/>
        </w:rPr>
      </w:pPr>
    </w:p>
    <w:p w14:paraId="02190F6F">
      <w:pPr>
        <w:pStyle w:val="21"/>
        <w:rPr>
          <w:rFonts w:hint="eastAsia" w:hAnsi="宋体" w:cs="宋体"/>
          <w:color w:val="auto"/>
          <w:sz w:val="24"/>
          <w:szCs w:val="24"/>
          <w:highlight w:val="none"/>
        </w:rPr>
      </w:pPr>
    </w:p>
    <w:p w14:paraId="1229C145">
      <w:pPr>
        <w:pStyle w:val="21"/>
        <w:rPr>
          <w:rFonts w:hint="eastAsia" w:hAnsi="宋体" w:cs="宋体"/>
          <w:color w:val="auto"/>
          <w:sz w:val="24"/>
          <w:szCs w:val="24"/>
          <w:highlight w:val="none"/>
        </w:rPr>
      </w:pPr>
    </w:p>
    <w:p w14:paraId="2BF192C2">
      <w:pPr>
        <w:pStyle w:val="21"/>
        <w:rPr>
          <w:rFonts w:hint="eastAsia" w:hAnsi="宋体" w:cs="宋体"/>
          <w:color w:val="auto"/>
          <w:sz w:val="24"/>
          <w:szCs w:val="24"/>
          <w:highlight w:val="none"/>
        </w:rPr>
      </w:pPr>
    </w:p>
    <w:p w14:paraId="4DCF4059">
      <w:pPr>
        <w:pStyle w:val="21"/>
        <w:rPr>
          <w:rFonts w:hint="eastAsia" w:hAnsi="宋体" w:cs="宋体"/>
          <w:color w:val="auto"/>
          <w:sz w:val="24"/>
          <w:szCs w:val="24"/>
          <w:highlight w:val="none"/>
        </w:rPr>
      </w:pPr>
    </w:p>
    <w:p w14:paraId="3DDEBDE4">
      <w:pPr>
        <w:pStyle w:val="21"/>
        <w:rPr>
          <w:rFonts w:hint="eastAsia" w:hAnsi="宋体" w:cs="宋体"/>
          <w:color w:val="auto"/>
          <w:sz w:val="24"/>
          <w:szCs w:val="24"/>
          <w:highlight w:val="none"/>
        </w:rPr>
      </w:pPr>
    </w:p>
    <w:p w14:paraId="38B9B7FF">
      <w:pPr>
        <w:pStyle w:val="21"/>
        <w:rPr>
          <w:rFonts w:hint="eastAsia" w:hAnsi="宋体" w:cs="宋体"/>
          <w:color w:val="auto"/>
          <w:sz w:val="24"/>
          <w:szCs w:val="24"/>
          <w:highlight w:val="none"/>
        </w:rPr>
      </w:pPr>
    </w:p>
    <w:p w14:paraId="2418A074">
      <w:pPr>
        <w:pStyle w:val="21"/>
        <w:rPr>
          <w:rFonts w:hint="eastAsia" w:hAnsi="宋体" w:cs="宋体"/>
          <w:color w:val="auto"/>
          <w:sz w:val="24"/>
          <w:szCs w:val="24"/>
          <w:highlight w:val="none"/>
        </w:rPr>
      </w:pPr>
    </w:p>
    <w:p w14:paraId="34FA26F1">
      <w:pPr>
        <w:pStyle w:val="21"/>
        <w:rPr>
          <w:rFonts w:hint="eastAsia" w:hAnsi="宋体" w:cs="宋体"/>
          <w:color w:val="auto"/>
          <w:sz w:val="24"/>
          <w:szCs w:val="24"/>
          <w:highlight w:val="none"/>
        </w:rPr>
      </w:pPr>
    </w:p>
    <w:p w14:paraId="2C2ADCCE">
      <w:pPr>
        <w:jc w:val="center"/>
        <w:rPr>
          <w:rFonts w:hint="eastAsia" w:ascii="宋体" w:hAnsi="宋体" w:cs="宋体"/>
          <w:color w:val="auto"/>
          <w:sz w:val="24"/>
          <w:highlight w:val="none"/>
        </w:rPr>
      </w:pPr>
    </w:p>
    <w:p w14:paraId="356A1D82">
      <w:pPr>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br w:type="page"/>
      </w:r>
      <w:r>
        <w:rPr>
          <w:rFonts w:hint="eastAsia" w:ascii="宋体" w:hAnsi="宋体" w:cs="宋体"/>
          <w:color w:val="auto"/>
          <w:sz w:val="28"/>
          <w:szCs w:val="28"/>
          <w:highlight w:val="none"/>
        </w:rPr>
        <w:t>7.7.3单位负责人为同一人或者存在直接控股、管理关系的不同参选人，不得参加同一合同项下的比选活动；</w:t>
      </w:r>
    </w:p>
    <w:p w14:paraId="5B409B78">
      <w:pPr>
        <w:jc w:val="left"/>
        <w:rPr>
          <w:rFonts w:hint="eastAsia" w:ascii="宋体" w:hAnsi="宋体" w:cs="宋体"/>
          <w:b/>
          <w:bCs/>
          <w:color w:val="auto"/>
          <w:sz w:val="28"/>
          <w:szCs w:val="28"/>
          <w:highlight w:val="none"/>
        </w:rPr>
      </w:pPr>
      <w:r>
        <w:rPr>
          <w:rFonts w:hint="eastAsia" w:ascii="宋体" w:hAnsi="宋体" w:cs="宋体"/>
          <w:color w:val="auto"/>
          <w:sz w:val="28"/>
          <w:szCs w:val="28"/>
          <w:highlight w:val="none"/>
        </w:rPr>
        <w:t>7.7.4本项目不接受联合体参选。</w:t>
      </w:r>
    </w:p>
    <w:p w14:paraId="6F155BEB">
      <w:pPr>
        <w:jc w:val="center"/>
        <w:rPr>
          <w:rFonts w:hint="eastAsia" w:ascii="宋体" w:hAnsi="宋体" w:cs="宋体"/>
          <w:b/>
          <w:bCs/>
          <w:color w:val="auto"/>
          <w:sz w:val="24"/>
          <w:highlight w:val="none"/>
        </w:rPr>
      </w:pPr>
      <w:r>
        <w:rPr>
          <w:rFonts w:hint="eastAsia" w:ascii="宋体" w:hAnsi="宋体" w:cs="宋体"/>
          <w:b/>
          <w:bCs/>
          <w:color w:val="auto"/>
          <w:sz w:val="24"/>
          <w:highlight w:val="none"/>
        </w:rPr>
        <w:t>（提供声明函）</w:t>
      </w:r>
    </w:p>
    <w:p w14:paraId="729FAAE1">
      <w:pPr>
        <w:jc w:val="center"/>
        <w:rPr>
          <w:rFonts w:hint="eastAsia" w:ascii="宋体" w:hAnsi="宋体" w:cs="宋体"/>
          <w:b/>
          <w:bCs/>
          <w:color w:val="auto"/>
          <w:sz w:val="24"/>
          <w:highlight w:val="none"/>
        </w:rPr>
      </w:pPr>
    </w:p>
    <w:p w14:paraId="1EB03E92">
      <w:pPr>
        <w:jc w:val="center"/>
        <w:rPr>
          <w:rFonts w:hint="eastAsia" w:ascii="宋体" w:hAnsi="宋体" w:cs="宋体"/>
          <w:b/>
          <w:bCs/>
          <w:color w:val="auto"/>
          <w:sz w:val="24"/>
          <w:highlight w:val="none"/>
        </w:rPr>
      </w:pPr>
    </w:p>
    <w:p w14:paraId="094D1EA0">
      <w:pPr>
        <w:pStyle w:val="21"/>
        <w:rPr>
          <w:rFonts w:hint="eastAsia" w:hAnsi="宋体" w:cs="宋体"/>
          <w:color w:val="auto"/>
          <w:highlight w:val="none"/>
        </w:rPr>
      </w:pPr>
    </w:p>
    <w:p w14:paraId="5964A1A3">
      <w:pPr>
        <w:pStyle w:val="21"/>
        <w:rPr>
          <w:rFonts w:hint="eastAsia" w:hAnsi="宋体" w:cs="宋体"/>
          <w:color w:val="auto"/>
          <w:highlight w:val="none"/>
        </w:rPr>
      </w:pPr>
    </w:p>
    <w:p w14:paraId="136E8344">
      <w:pPr>
        <w:jc w:val="center"/>
        <w:rPr>
          <w:rFonts w:hint="eastAsia" w:ascii="宋体" w:hAnsi="宋体" w:cs="宋体"/>
          <w:b/>
          <w:bCs/>
          <w:color w:val="auto"/>
          <w:sz w:val="24"/>
          <w:highlight w:val="none"/>
        </w:rPr>
      </w:pPr>
    </w:p>
    <w:p w14:paraId="44D68EAA">
      <w:pPr>
        <w:jc w:val="center"/>
        <w:rPr>
          <w:rFonts w:hint="eastAsia" w:ascii="宋体" w:hAnsi="宋体" w:cs="宋体"/>
          <w:b/>
          <w:bCs/>
          <w:color w:val="auto"/>
          <w:sz w:val="24"/>
          <w:highlight w:val="none"/>
        </w:rPr>
      </w:pPr>
      <w:r>
        <w:rPr>
          <w:rFonts w:hint="eastAsia" w:ascii="宋体" w:hAnsi="宋体" w:cs="宋体"/>
          <w:b/>
          <w:bCs/>
          <w:color w:val="auto"/>
          <w:sz w:val="24"/>
          <w:highlight w:val="none"/>
        </w:rPr>
        <w:t>声明函（格式）</w:t>
      </w:r>
    </w:p>
    <w:p w14:paraId="3D81C133">
      <w:pPr>
        <w:jc w:val="center"/>
        <w:rPr>
          <w:rFonts w:hint="eastAsia" w:ascii="宋体" w:hAnsi="宋体" w:cs="宋体"/>
          <w:color w:val="auto"/>
          <w:sz w:val="24"/>
          <w:highlight w:val="none"/>
        </w:rPr>
      </w:pPr>
    </w:p>
    <w:p w14:paraId="0BECEAD8">
      <w:pP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（比选人）</w:t>
      </w:r>
      <w:r>
        <w:rPr>
          <w:rFonts w:hint="eastAsia" w:ascii="宋体" w:hAnsi="宋体" w:cs="宋体"/>
          <w:color w:val="auto"/>
          <w:sz w:val="24"/>
          <w:highlight w:val="none"/>
        </w:rPr>
        <w:t>：</w:t>
      </w:r>
    </w:p>
    <w:p w14:paraId="0A544DD7">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我公司声明不存在单位负责人为同一人或者存在直接控股、管理关系的不同参选人，同时参加本项目的参选活动。</w:t>
      </w:r>
    </w:p>
    <w:p w14:paraId="76DA23EE">
      <w:pPr>
        <w:spacing w:line="360" w:lineRule="auto"/>
        <w:ind w:firstLine="360" w:firstLineChars="150"/>
        <w:jc w:val="left"/>
        <w:rPr>
          <w:rFonts w:hint="eastAsia" w:ascii="宋体" w:hAnsi="宋体" w:cs="宋体"/>
          <w:color w:val="auto"/>
          <w:sz w:val="24"/>
          <w:highlight w:val="none"/>
        </w:rPr>
      </w:pPr>
      <w:r>
        <w:rPr>
          <w:rFonts w:hint="eastAsia" w:ascii="宋体" w:hAnsi="宋体" w:cs="宋体"/>
          <w:color w:val="auto"/>
          <w:sz w:val="24"/>
          <w:highlight w:val="none"/>
        </w:rPr>
        <w:t>我公司不是联合体参选。</w:t>
      </w:r>
    </w:p>
    <w:p w14:paraId="2E0B3CE7">
      <w:pPr>
        <w:spacing w:line="360" w:lineRule="auto"/>
        <w:ind w:firstLine="360" w:firstLineChars="150"/>
        <w:jc w:val="left"/>
        <w:rPr>
          <w:rFonts w:hint="eastAsia" w:ascii="宋体" w:hAnsi="宋体" w:cs="宋体"/>
          <w:color w:val="auto"/>
          <w:sz w:val="24"/>
          <w:highlight w:val="none"/>
        </w:rPr>
      </w:pPr>
      <w:r>
        <w:rPr>
          <w:rFonts w:hint="eastAsia" w:ascii="宋体" w:hAnsi="宋体" w:cs="宋体"/>
          <w:color w:val="auto"/>
          <w:sz w:val="24"/>
          <w:highlight w:val="none"/>
        </w:rPr>
        <w:t>特此声明！</w:t>
      </w:r>
    </w:p>
    <w:p w14:paraId="12A5ABF7">
      <w:pPr>
        <w:spacing w:line="360" w:lineRule="auto"/>
        <w:jc w:val="left"/>
        <w:rPr>
          <w:rFonts w:hint="eastAsia" w:ascii="宋体" w:hAnsi="宋体" w:cs="宋体"/>
          <w:color w:val="auto"/>
          <w:sz w:val="24"/>
          <w:highlight w:val="none"/>
        </w:rPr>
      </w:pPr>
    </w:p>
    <w:p w14:paraId="23A7E67F">
      <w:pPr>
        <w:spacing w:line="360" w:lineRule="auto"/>
        <w:jc w:val="center"/>
        <w:rPr>
          <w:rFonts w:hint="eastAsia" w:ascii="宋体" w:hAnsi="宋体" w:cs="宋体"/>
          <w:color w:val="auto"/>
          <w:sz w:val="24"/>
          <w:highlight w:val="none"/>
        </w:rPr>
      </w:pPr>
    </w:p>
    <w:p w14:paraId="786EF960">
      <w:pPr>
        <w:spacing w:line="360" w:lineRule="auto"/>
        <w:jc w:val="center"/>
        <w:rPr>
          <w:rFonts w:hint="eastAsia" w:ascii="宋体" w:hAnsi="宋体" w:cs="宋体"/>
          <w:color w:val="auto"/>
          <w:sz w:val="24"/>
          <w:highlight w:val="none"/>
          <w:u w:val="single"/>
        </w:rPr>
      </w:pPr>
      <w:r>
        <w:rPr>
          <w:rFonts w:hint="eastAsia" w:ascii="宋体" w:hAnsi="宋体" w:cs="宋体"/>
          <w:color w:val="auto"/>
          <w:sz w:val="24"/>
          <w:highlight w:val="none"/>
        </w:rPr>
        <w:t xml:space="preserve">                                               参选人名称：（公章）</w:t>
      </w:r>
      <w:r>
        <w:rPr>
          <w:rFonts w:hint="eastAsia" w:ascii="宋体" w:hAnsi="宋体" w:cs="宋体"/>
          <w:color w:val="auto"/>
          <w:sz w:val="24"/>
          <w:highlight w:val="none"/>
          <w:u w:val="single"/>
        </w:rPr>
        <w:t xml:space="preserve">         </w:t>
      </w:r>
    </w:p>
    <w:p w14:paraId="5581E997">
      <w:pPr>
        <w:spacing w:line="360" w:lineRule="auto"/>
        <w:jc w:val="right"/>
        <w:rPr>
          <w:rFonts w:hint="eastAsia" w:ascii="宋体" w:hAnsi="宋体" w:cs="宋体"/>
          <w:color w:val="auto"/>
          <w:sz w:val="24"/>
          <w:highlight w:val="none"/>
        </w:rPr>
      </w:pPr>
      <w:r>
        <w:rPr>
          <w:rFonts w:hint="eastAsia" w:ascii="宋体" w:hAnsi="宋体" w:cs="宋体"/>
          <w:color w:val="auto"/>
          <w:sz w:val="24"/>
          <w:highlight w:val="none"/>
        </w:rPr>
        <w:t>日期：       年     月    日</w:t>
      </w:r>
    </w:p>
    <w:p w14:paraId="57EC0833">
      <w:pPr>
        <w:spacing w:line="360" w:lineRule="auto"/>
        <w:jc w:val="center"/>
        <w:rPr>
          <w:rFonts w:hint="eastAsia" w:ascii="宋体" w:hAnsi="宋体" w:cs="宋体"/>
          <w:color w:val="auto"/>
          <w:sz w:val="24"/>
          <w:highlight w:val="none"/>
        </w:rPr>
      </w:pPr>
    </w:p>
    <w:p w14:paraId="1AEBEAB1">
      <w:pPr>
        <w:spacing w:line="360" w:lineRule="auto"/>
        <w:jc w:val="center"/>
        <w:rPr>
          <w:rFonts w:hint="eastAsia" w:ascii="宋体" w:hAnsi="宋体" w:cs="宋体"/>
          <w:color w:val="auto"/>
          <w:sz w:val="24"/>
          <w:highlight w:val="none"/>
        </w:rPr>
      </w:pPr>
    </w:p>
    <w:p w14:paraId="156291F4">
      <w:pPr>
        <w:spacing w:line="360" w:lineRule="auto"/>
        <w:jc w:val="center"/>
        <w:rPr>
          <w:rFonts w:hint="eastAsia" w:ascii="宋体" w:hAnsi="宋体" w:cs="宋体"/>
          <w:color w:val="auto"/>
          <w:sz w:val="24"/>
          <w:highlight w:val="none"/>
        </w:rPr>
      </w:pPr>
    </w:p>
    <w:p w14:paraId="02F59F89">
      <w:pPr>
        <w:jc w:val="center"/>
        <w:rPr>
          <w:rFonts w:hint="eastAsia" w:ascii="宋体" w:hAnsi="宋体" w:cs="宋体"/>
          <w:color w:val="auto"/>
          <w:sz w:val="24"/>
          <w:highlight w:val="none"/>
        </w:rPr>
      </w:pPr>
    </w:p>
    <w:p w14:paraId="6D0C6EC7">
      <w:pPr>
        <w:pStyle w:val="3"/>
        <w:bidi w:val="0"/>
        <w:rPr>
          <w:rFonts w:hint="eastAsia" w:ascii="宋体" w:hAnsi="宋体" w:cs="宋体"/>
          <w:b w:val="0"/>
          <w:bCs w:val="0"/>
          <w:color w:val="auto"/>
          <w:szCs w:val="28"/>
          <w:highlight w:val="none"/>
        </w:rPr>
      </w:pPr>
      <w:r>
        <w:rPr>
          <w:rFonts w:hint="eastAsia" w:ascii="宋体" w:hAnsi="宋体" w:cs="宋体"/>
          <w:b w:val="0"/>
          <w:bCs w:val="0"/>
          <w:color w:val="auto"/>
          <w:szCs w:val="28"/>
          <w:highlight w:val="none"/>
        </w:rPr>
        <w:br w:type="page"/>
      </w:r>
      <w:bookmarkStart w:id="72" w:name="_Toc5267"/>
      <w:r>
        <w:rPr>
          <w:rFonts w:hint="eastAsia"/>
          <w:color w:val="auto"/>
          <w:highlight w:val="none"/>
        </w:rPr>
        <w:t>8、参选人情况一览表</w:t>
      </w:r>
      <w:bookmarkEnd w:id="72"/>
    </w:p>
    <w:p w14:paraId="0A721474">
      <w:pPr>
        <w:pStyle w:val="15"/>
        <w:ind w:firstLine="0"/>
        <w:rPr>
          <w:rFonts w:hint="eastAsia" w:ascii="宋体" w:hAnsi="宋体" w:cs="宋体"/>
          <w:color w:val="auto"/>
          <w:highlight w:val="none"/>
        </w:rPr>
      </w:pPr>
    </w:p>
    <w:p w14:paraId="42322AB9">
      <w:pPr>
        <w:pStyle w:val="15"/>
        <w:ind w:firstLine="0"/>
        <w:rPr>
          <w:rFonts w:hint="eastAsia" w:ascii="宋体" w:hAnsi="宋体" w:cs="宋体"/>
          <w:color w:val="auto"/>
          <w:highlight w:val="none"/>
        </w:rPr>
      </w:pPr>
    </w:p>
    <w:tbl>
      <w:tblPr>
        <w:tblStyle w:val="16"/>
        <w:tblpPr w:leftFromText="180" w:rightFromText="180" w:vertAnchor="text" w:horzAnchor="page" w:tblpXSpec="center" w:tblpY="20"/>
        <w:tblOverlap w:val="never"/>
        <w:tblW w:w="101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086"/>
        <w:gridCol w:w="612"/>
        <w:gridCol w:w="1702"/>
        <w:gridCol w:w="1698"/>
        <w:gridCol w:w="1698"/>
        <w:gridCol w:w="1706"/>
      </w:tblGrid>
      <w:tr w14:paraId="2F4A6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697" w:type="dxa"/>
            <w:noWrap w:val="0"/>
            <w:vAlign w:val="center"/>
          </w:tcPr>
          <w:p w14:paraId="6C256F23">
            <w:pPr>
              <w:jc w:val="center"/>
              <w:rPr>
                <w:rFonts w:hint="eastAsia" w:ascii="宋体" w:hAnsi="宋体" w:cs="宋体"/>
                <w:color w:val="auto"/>
                <w:sz w:val="24"/>
                <w:highlight w:val="none"/>
              </w:rPr>
            </w:pPr>
            <w:r>
              <w:rPr>
                <w:rFonts w:hint="eastAsia" w:ascii="宋体" w:hAnsi="宋体" w:cs="宋体"/>
                <w:color w:val="auto"/>
                <w:sz w:val="24"/>
                <w:highlight w:val="none"/>
              </w:rPr>
              <w:t>参选人名称</w:t>
            </w:r>
          </w:p>
        </w:tc>
        <w:tc>
          <w:tcPr>
            <w:tcW w:w="8502" w:type="dxa"/>
            <w:gridSpan w:val="6"/>
            <w:noWrap w:val="0"/>
            <w:vAlign w:val="center"/>
          </w:tcPr>
          <w:p w14:paraId="482DD389">
            <w:pPr>
              <w:rPr>
                <w:rFonts w:hint="eastAsia" w:ascii="宋体" w:hAnsi="宋体" w:cs="宋体"/>
                <w:color w:val="auto"/>
                <w:sz w:val="24"/>
                <w:highlight w:val="none"/>
              </w:rPr>
            </w:pPr>
          </w:p>
        </w:tc>
      </w:tr>
      <w:tr w14:paraId="73BBA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1697" w:type="dxa"/>
            <w:noWrap w:val="0"/>
            <w:vAlign w:val="center"/>
          </w:tcPr>
          <w:p w14:paraId="78D9E300">
            <w:pPr>
              <w:jc w:val="center"/>
              <w:rPr>
                <w:rFonts w:hint="eastAsia" w:ascii="宋体" w:hAnsi="宋体" w:cs="宋体"/>
                <w:color w:val="auto"/>
                <w:sz w:val="24"/>
                <w:highlight w:val="none"/>
              </w:rPr>
            </w:pPr>
            <w:r>
              <w:rPr>
                <w:rFonts w:hint="eastAsia" w:ascii="宋体" w:hAnsi="宋体" w:cs="宋体"/>
                <w:color w:val="auto"/>
                <w:sz w:val="24"/>
                <w:highlight w:val="none"/>
              </w:rPr>
              <w:t>法定代表人</w:t>
            </w:r>
          </w:p>
        </w:tc>
        <w:tc>
          <w:tcPr>
            <w:tcW w:w="3400" w:type="dxa"/>
            <w:gridSpan w:val="3"/>
            <w:noWrap w:val="0"/>
            <w:vAlign w:val="center"/>
          </w:tcPr>
          <w:p w14:paraId="775A9BF9">
            <w:pPr>
              <w:jc w:val="center"/>
              <w:rPr>
                <w:rFonts w:hint="eastAsia" w:ascii="宋体" w:hAnsi="宋体" w:cs="宋体"/>
                <w:color w:val="auto"/>
                <w:sz w:val="24"/>
                <w:highlight w:val="none"/>
              </w:rPr>
            </w:pPr>
          </w:p>
        </w:tc>
        <w:tc>
          <w:tcPr>
            <w:tcW w:w="1698" w:type="dxa"/>
            <w:noWrap w:val="0"/>
            <w:vAlign w:val="center"/>
          </w:tcPr>
          <w:p w14:paraId="5262010D">
            <w:pPr>
              <w:jc w:val="center"/>
              <w:rPr>
                <w:rFonts w:hint="eastAsia" w:ascii="宋体" w:hAnsi="宋体" w:cs="宋体"/>
                <w:color w:val="auto"/>
                <w:sz w:val="24"/>
                <w:highlight w:val="none"/>
              </w:rPr>
            </w:pPr>
            <w:r>
              <w:rPr>
                <w:rFonts w:hint="eastAsia" w:ascii="宋体" w:hAnsi="宋体" w:cs="宋体"/>
                <w:color w:val="auto"/>
                <w:sz w:val="24"/>
                <w:highlight w:val="none"/>
              </w:rPr>
              <w:t>电话</w:t>
            </w:r>
          </w:p>
        </w:tc>
        <w:tc>
          <w:tcPr>
            <w:tcW w:w="3404" w:type="dxa"/>
            <w:gridSpan w:val="2"/>
            <w:noWrap w:val="0"/>
            <w:vAlign w:val="center"/>
          </w:tcPr>
          <w:p w14:paraId="04CDD065">
            <w:pPr>
              <w:jc w:val="center"/>
              <w:rPr>
                <w:rFonts w:hint="eastAsia" w:ascii="宋体" w:hAnsi="宋体" w:cs="宋体"/>
                <w:color w:val="auto"/>
                <w:sz w:val="24"/>
                <w:highlight w:val="none"/>
              </w:rPr>
            </w:pPr>
          </w:p>
        </w:tc>
      </w:tr>
      <w:tr w14:paraId="73D94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1697" w:type="dxa"/>
            <w:noWrap w:val="0"/>
            <w:vAlign w:val="center"/>
          </w:tcPr>
          <w:p w14:paraId="603660C3">
            <w:pPr>
              <w:jc w:val="center"/>
              <w:rPr>
                <w:rFonts w:hint="eastAsia" w:ascii="宋体" w:hAnsi="宋体" w:cs="宋体"/>
                <w:color w:val="auto"/>
                <w:sz w:val="24"/>
                <w:highlight w:val="none"/>
              </w:rPr>
            </w:pPr>
            <w:r>
              <w:rPr>
                <w:rFonts w:hint="eastAsia" w:ascii="宋体" w:hAnsi="宋体" w:cs="宋体"/>
                <w:color w:val="auto"/>
                <w:sz w:val="24"/>
                <w:highlight w:val="none"/>
              </w:rPr>
              <w:t>地址</w:t>
            </w:r>
          </w:p>
        </w:tc>
        <w:tc>
          <w:tcPr>
            <w:tcW w:w="8502" w:type="dxa"/>
            <w:gridSpan w:val="6"/>
            <w:noWrap w:val="0"/>
            <w:vAlign w:val="center"/>
          </w:tcPr>
          <w:p w14:paraId="74BF07A0">
            <w:pPr>
              <w:jc w:val="left"/>
              <w:rPr>
                <w:rFonts w:hint="eastAsia" w:ascii="宋体" w:hAnsi="宋体" w:cs="宋体"/>
                <w:color w:val="auto"/>
                <w:sz w:val="24"/>
                <w:highlight w:val="none"/>
              </w:rPr>
            </w:pPr>
          </w:p>
        </w:tc>
      </w:tr>
      <w:tr w14:paraId="06178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2783" w:type="dxa"/>
            <w:gridSpan w:val="2"/>
            <w:noWrap w:val="0"/>
            <w:vAlign w:val="center"/>
          </w:tcPr>
          <w:p w14:paraId="5A2E7658">
            <w:pPr>
              <w:jc w:val="left"/>
              <w:rPr>
                <w:rFonts w:hint="eastAsia" w:ascii="宋体" w:hAnsi="宋体" w:cs="宋体"/>
                <w:color w:val="auto"/>
                <w:sz w:val="24"/>
                <w:highlight w:val="none"/>
              </w:rPr>
            </w:pPr>
            <w:r>
              <w:rPr>
                <w:rFonts w:hint="eastAsia" w:ascii="宋体" w:hAnsi="宋体" w:cs="宋体"/>
                <w:color w:val="auto"/>
                <w:sz w:val="24"/>
                <w:highlight w:val="none"/>
              </w:rPr>
              <w:t>统一社会信用代码</w:t>
            </w:r>
          </w:p>
        </w:tc>
        <w:tc>
          <w:tcPr>
            <w:tcW w:w="7416" w:type="dxa"/>
            <w:gridSpan w:val="5"/>
            <w:noWrap w:val="0"/>
            <w:vAlign w:val="center"/>
          </w:tcPr>
          <w:p w14:paraId="596B571E">
            <w:pPr>
              <w:jc w:val="left"/>
              <w:rPr>
                <w:rFonts w:hint="eastAsia" w:ascii="宋体" w:hAnsi="宋体" w:cs="宋体"/>
                <w:color w:val="auto"/>
                <w:sz w:val="24"/>
                <w:highlight w:val="none"/>
              </w:rPr>
            </w:pPr>
          </w:p>
        </w:tc>
      </w:tr>
      <w:tr w14:paraId="2AD29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1697" w:type="dxa"/>
            <w:noWrap w:val="0"/>
            <w:vAlign w:val="center"/>
          </w:tcPr>
          <w:p w14:paraId="716E194A">
            <w:pPr>
              <w:pStyle w:val="14"/>
              <w:ind w:firstLine="0"/>
              <w:jc w:val="center"/>
              <w:rPr>
                <w:rFonts w:hint="eastAsia" w:ascii="宋体" w:hAnsi="宋体" w:cs="宋体"/>
                <w:color w:val="auto"/>
                <w:kern w:val="2"/>
                <w:sz w:val="24"/>
                <w:szCs w:val="24"/>
                <w:highlight w:val="none"/>
                <w:lang w:val="en-US" w:eastAsia="zh-CN"/>
              </w:rPr>
            </w:pPr>
            <w:r>
              <w:rPr>
                <w:rFonts w:hint="eastAsia" w:ascii="宋体" w:hAnsi="宋体" w:cs="宋体"/>
                <w:color w:val="auto"/>
                <w:kern w:val="2"/>
                <w:sz w:val="24"/>
                <w:szCs w:val="24"/>
                <w:highlight w:val="none"/>
                <w:lang w:val="en-US" w:eastAsia="zh-CN"/>
              </w:rPr>
              <w:t>联系人</w:t>
            </w:r>
          </w:p>
        </w:tc>
        <w:tc>
          <w:tcPr>
            <w:tcW w:w="1698" w:type="dxa"/>
            <w:gridSpan w:val="2"/>
            <w:noWrap w:val="0"/>
            <w:vAlign w:val="center"/>
          </w:tcPr>
          <w:p w14:paraId="27BCD860">
            <w:pPr>
              <w:pStyle w:val="14"/>
              <w:ind w:firstLine="0"/>
              <w:jc w:val="center"/>
              <w:rPr>
                <w:rFonts w:hint="eastAsia" w:ascii="宋体" w:hAnsi="宋体" w:cs="宋体"/>
                <w:color w:val="auto"/>
                <w:kern w:val="2"/>
                <w:sz w:val="24"/>
                <w:szCs w:val="24"/>
                <w:highlight w:val="none"/>
                <w:lang w:val="en-US" w:eastAsia="zh-CN"/>
              </w:rPr>
            </w:pPr>
          </w:p>
        </w:tc>
        <w:tc>
          <w:tcPr>
            <w:tcW w:w="1702" w:type="dxa"/>
            <w:noWrap w:val="0"/>
            <w:vAlign w:val="center"/>
          </w:tcPr>
          <w:p w14:paraId="442CFB55">
            <w:pPr>
              <w:pStyle w:val="14"/>
              <w:ind w:firstLine="0"/>
              <w:jc w:val="center"/>
              <w:rPr>
                <w:rFonts w:hint="eastAsia" w:ascii="宋体" w:hAnsi="宋体" w:cs="宋体"/>
                <w:color w:val="auto"/>
                <w:kern w:val="2"/>
                <w:sz w:val="24"/>
                <w:szCs w:val="24"/>
                <w:highlight w:val="none"/>
                <w:lang w:val="en-US" w:eastAsia="zh-CN"/>
              </w:rPr>
            </w:pPr>
            <w:r>
              <w:rPr>
                <w:rFonts w:hint="eastAsia" w:ascii="宋体" w:hAnsi="宋体" w:cs="宋体"/>
                <w:color w:val="auto"/>
                <w:kern w:val="2"/>
                <w:sz w:val="24"/>
                <w:szCs w:val="24"/>
                <w:highlight w:val="none"/>
                <w:lang w:val="en-US" w:eastAsia="zh-CN"/>
              </w:rPr>
              <w:t>联系电话</w:t>
            </w:r>
          </w:p>
        </w:tc>
        <w:tc>
          <w:tcPr>
            <w:tcW w:w="1698" w:type="dxa"/>
            <w:noWrap w:val="0"/>
            <w:vAlign w:val="center"/>
          </w:tcPr>
          <w:p w14:paraId="10B776DD">
            <w:pPr>
              <w:pStyle w:val="14"/>
              <w:ind w:firstLine="0"/>
              <w:jc w:val="center"/>
              <w:rPr>
                <w:rFonts w:hint="eastAsia" w:ascii="宋体" w:hAnsi="宋体" w:cs="宋体"/>
                <w:color w:val="auto"/>
                <w:kern w:val="2"/>
                <w:sz w:val="24"/>
                <w:szCs w:val="24"/>
                <w:highlight w:val="none"/>
                <w:lang w:val="en-US" w:eastAsia="zh-CN"/>
              </w:rPr>
            </w:pPr>
          </w:p>
        </w:tc>
        <w:tc>
          <w:tcPr>
            <w:tcW w:w="1698" w:type="dxa"/>
            <w:noWrap w:val="0"/>
            <w:vAlign w:val="center"/>
          </w:tcPr>
          <w:p w14:paraId="189843CA">
            <w:pPr>
              <w:pStyle w:val="14"/>
              <w:ind w:firstLine="0"/>
              <w:jc w:val="center"/>
              <w:rPr>
                <w:rFonts w:hint="eastAsia" w:ascii="宋体" w:hAnsi="宋体" w:cs="宋体"/>
                <w:color w:val="auto"/>
                <w:kern w:val="2"/>
                <w:sz w:val="24"/>
                <w:szCs w:val="24"/>
                <w:highlight w:val="none"/>
                <w:lang w:val="en-US" w:eastAsia="zh-CN"/>
              </w:rPr>
            </w:pPr>
            <w:r>
              <w:rPr>
                <w:rFonts w:hint="eastAsia" w:ascii="宋体" w:hAnsi="宋体" w:cs="宋体"/>
                <w:color w:val="auto"/>
                <w:kern w:val="2"/>
                <w:sz w:val="24"/>
                <w:szCs w:val="24"/>
                <w:highlight w:val="none"/>
                <w:lang w:val="en-US" w:eastAsia="zh-CN"/>
              </w:rPr>
              <w:t>网址/邮箱</w:t>
            </w:r>
          </w:p>
        </w:tc>
        <w:tc>
          <w:tcPr>
            <w:tcW w:w="1706" w:type="dxa"/>
            <w:noWrap w:val="0"/>
            <w:vAlign w:val="center"/>
          </w:tcPr>
          <w:p w14:paraId="72F9D5BB">
            <w:pPr>
              <w:pStyle w:val="14"/>
              <w:ind w:firstLine="0"/>
              <w:jc w:val="center"/>
              <w:rPr>
                <w:rFonts w:hint="eastAsia" w:ascii="宋体" w:hAnsi="宋体" w:cs="宋体"/>
                <w:color w:val="auto"/>
                <w:kern w:val="2"/>
                <w:sz w:val="24"/>
                <w:szCs w:val="24"/>
                <w:highlight w:val="none"/>
                <w:lang w:val="en-US" w:eastAsia="zh-CN"/>
              </w:rPr>
            </w:pPr>
          </w:p>
        </w:tc>
      </w:tr>
      <w:tr w14:paraId="5E54F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697" w:type="dxa"/>
            <w:noWrap w:val="0"/>
            <w:vAlign w:val="center"/>
          </w:tcPr>
          <w:p w14:paraId="5799A412">
            <w:pPr>
              <w:jc w:val="center"/>
              <w:rPr>
                <w:rFonts w:hint="eastAsia" w:ascii="宋体" w:hAnsi="宋体" w:cs="宋体"/>
                <w:color w:val="auto"/>
                <w:sz w:val="24"/>
                <w:highlight w:val="none"/>
              </w:rPr>
            </w:pPr>
            <w:r>
              <w:rPr>
                <w:rFonts w:hint="eastAsia" w:ascii="宋体" w:hAnsi="宋体" w:cs="宋体"/>
                <w:color w:val="auto"/>
                <w:sz w:val="24"/>
                <w:highlight w:val="none"/>
              </w:rPr>
              <w:t>企业性质</w:t>
            </w:r>
          </w:p>
        </w:tc>
        <w:tc>
          <w:tcPr>
            <w:tcW w:w="3400" w:type="dxa"/>
            <w:gridSpan w:val="3"/>
            <w:noWrap w:val="0"/>
            <w:vAlign w:val="center"/>
          </w:tcPr>
          <w:p w14:paraId="13A0F66F">
            <w:pPr>
              <w:jc w:val="center"/>
              <w:rPr>
                <w:rFonts w:hint="eastAsia" w:ascii="宋体" w:hAnsi="宋体" w:cs="宋体"/>
                <w:color w:val="auto"/>
                <w:sz w:val="24"/>
                <w:highlight w:val="none"/>
              </w:rPr>
            </w:pPr>
          </w:p>
        </w:tc>
        <w:tc>
          <w:tcPr>
            <w:tcW w:w="1698" w:type="dxa"/>
            <w:noWrap w:val="0"/>
            <w:vAlign w:val="center"/>
          </w:tcPr>
          <w:p w14:paraId="47215660">
            <w:pPr>
              <w:jc w:val="center"/>
              <w:rPr>
                <w:rFonts w:hint="eastAsia" w:ascii="宋体" w:hAnsi="宋体" w:cs="宋体"/>
                <w:color w:val="auto"/>
                <w:sz w:val="24"/>
                <w:highlight w:val="none"/>
              </w:rPr>
            </w:pPr>
            <w:r>
              <w:rPr>
                <w:rFonts w:hint="eastAsia" w:ascii="宋体" w:hAnsi="宋体" w:cs="宋体"/>
                <w:color w:val="auto"/>
                <w:sz w:val="24"/>
                <w:highlight w:val="none"/>
              </w:rPr>
              <w:t>成立时间</w:t>
            </w:r>
          </w:p>
        </w:tc>
        <w:tc>
          <w:tcPr>
            <w:tcW w:w="3404" w:type="dxa"/>
            <w:gridSpan w:val="2"/>
            <w:noWrap w:val="0"/>
            <w:vAlign w:val="center"/>
          </w:tcPr>
          <w:p w14:paraId="0FCF5B3F">
            <w:pPr>
              <w:jc w:val="center"/>
              <w:rPr>
                <w:rFonts w:hint="eastAsia" w:ascii="宋体" w:hAnsi="宋体" w:cs="宋体"/>
                <w:color w:val="auto"/>
                <w:sz w:val="24"/>
                <w:highlight w:val="none"/>
              </w:rPr>
            </w:pPr>
          </w:p>
        </w:tc>
      </w:tr>
      <w:tr w14:paraId="3AF65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697" w:type="dxa"/>
            <w:noWrap w:val="0"/>
            <w:vAlign w:val="center"/>
          </w:tcPr>
          <w:p w14:paraId="2FD2EC56">
            <w:pPr>
              <w:jc w:val="center"/>
              <w:rPr>
                <w:rFonts w:hint="eastAsia" w:ascii="宋体" w:hAnsi="宋体" w:cs="宋体"/>
                <w:color w:val="auto"/>
                <w:sz w:val="24"/>
                <w:highlight w:val="none"/>
              </w:rPr>
            </w:pPr>
            <w:r>
              <w:rPr>
                <w:rFonts w:hint="eastAsia" w:ascii="宋体" w:hAnsi="宋体" w:cs="宋体"/>
                <w:color w:val="auto"/>
                <w:sz w:val="24"/>
                <w:highlight w:val="none"/>
                <w:lang w:val="en-US" w:eastAsia="zh-CN"/>
              </w:rPr>
              <w:t>营业执照</w:t>
            </w:r>
            <w:r>
              <w:rPr>
                <w:rFonts w:hint="eastAsia" w:ascii="宋体" w:hAnsi="宋体" w:cs="宋体"/>
                <w:color w:val="auto"/>
                <w:sz w:val="24"/>
                <w:highlight w:val="none"/>
              </w:rPr>
              <w:t>号</w:t>
            </w:r>
          </w:p>
        </w:tc>
        <w:tc>
          <w:tcPr>
            <w:tcW w:w="3400" w:type="dxa"/>
            <w:gridSpan w:val="3"/>
            <w:noWrap w:val="0"/>
            <w:vAlign w:val="center"/>
          </w:tcPr>
          <w:p w14:paraId="72EF813B">
            <w:pPr>
              <w:jc w:val="center"/>
              <w:rPr>
                <w:rFonts w:hint="eastAsia" w:ascii="宋体" w:hAnsi="宋体" w:cs="宋体"/>
                <w:color w:val="auto"/>
                <w:sz w:val="24"/>
                <w:highlight w:val="none"/>
              </w:rPr>
            </w:pPr>
          </w:p>
        </w:tc>
        <w:tc>
          <w:tcPr>
            <w:tcW w:w="1698" w:type="dxa"/>
            <w:noWrap w:val="0"/>
            <w:vAlign w:val="center"/>
          </w:tcPr>
          <w:p w14:paraId="6C8C29BA">
            <w:pPr>
              <w:jc w:val="center"/>
              <w:rPr>
                <w:rFonts w:hint="eastAsia" w:ascii="宋体" w:hAnsi="宋体" w:cs="宋体"/>
                <w:color w:val="auto"/>
                <w:sz w:val="24"/>
                <w:highlight w:val="none"/>
              </w:rPr>
            </w:pPr>
            <w:r>
              <w:rPr>
                <w:rFonts w:hint="eastAsia" w:ascii="宋体" w:hAnsi="宋体" w:cs="宋体"/>
                <w:color w:val="auto"/>
                <w:sz w:val="24"/>
                <w:highlight w:val="none"/>
              </w:rPr>
              <w:t>注册资金</w:t>
            </w:r>
          </w:p>
        </w:tc>
        <w:tc>
          <w:tcPr>
            <w:tcW w:w="3404" w:type="dxa"/>
            <w:gridSpan w:val="2"/>
            <w:noWrap w:val="0"/>
            <w:vAlign w:val="center"/>
          </w:tcPr>
          <w:p w14:paraId="11ADD583">
            <w:pPr>
              <w:jc w:val="center"/>
              <w:rPr>
                <w:rFonts w:hint="eastAsia" w:ascii="宋体" w:hAnsi="宋体" w:cs="宋体"/>
                <w:color w:val="auto"/>
                <w:sz w:val="24"/>
                <w:highlight w:val="none"/>
              </w:rPr>
            </w:pPr>
          </w:p>
        </w:tc>
      </w:tr>
      <w:tr w14:paraId="4B11D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697" w:type="dxa"/>
            <w:noWrap w:val="0"/>
            <w:vAlign w:val="center"/>
          </w:tcPr>
          <w:p w14:paraId="1A63FDE7">
            <w:pPr>
              <w:jc w:val="center"/>
              <w:rPr>
                <w:rFonts w:hint="eastAsia" w:ascii="宋体" w:hAnsi="宋体" w:cs="宋体"/>
                <w:color w:val="auto"/>
                <w:sz w:val="24"/>
                <w:highlight w:val="none"/>
              </w:rPr>
            </w:pPr>
            <w:r>
              <w:rPr>
                <w:rFonts w:hint="eastAsia" w:ascii="宋体" w:hAnsi="宋体" w:cs="宋体"/>
                <w:color w:val="auto"/>
                <w:sz w:val="24"/>
                <w:highlight w:val="none"/>
              </w:rPr>
              <w:t>开户银行</w:t>
            </w:r>
          </w:p>
        </w:tc>
        <w:tc>
          <w:tcPr>
            <w:tcW w:w="8502" w:type="dxa"/>
            <w:gridSpan w:val="6"/>
            <w:noWrap w:val="0"/>
            <w:vAlign w:val="center"/>
          </w:tcPr>
          <w:p w14:paraId="19C3C64F">
            <w:pPr>
              <w:jc w:val="center"/>
              <w:rPr>
                <w:rFonts w:hint="eastAsia" w:ascii="宋体" w:hAnsi="宋体" w:cs="宋体"/>
                <w:color w:val="auto"/>
                <w:sz w:val="24"/>
                <w:highlight w:val="none"/>
              </w:rPr>
            </w:pPr>
          </w:p>
        </w:tc>
      </w:tr>
      <w:tr w14:paraId="5ACE7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697" w:type="dxa"/>
            <w:noWrap w:val="0"/>
            <w:vAlign w:val="center"/>
          </w:tcPr>
          <w:p w14:paraId="335EC5E8">
            <w:pPr>
              <w:jc w:val="center"/>
              <w:rPr>
                <w:rFonts w:hint="eastAsia" w:ascii="宋体" w:hAnsi="宋体" w:cs="宋体"/>
                <w:color w:val="auto"/>
                <w:sz w:val="24"/>
                <w:highlight w:val="none"/>
              </w:rPr>
            </w:pPr>
            <w:r>
              <w:rPr>
                <w:rFonts w:hint="eastAsia" w:ascii="宋体" w:hAnsi="宋体" w:cs="宋体"/>
                <w:color w:val="auto"/>
                <w:sz w:val="24"/>
                <w:highlight w:val="none"/>
              </w:rPr>
              <w:t>银行账号</w:t>
            </w:r>
          </w:p>
        </w:tc>
        <w:tc>
          <w:tcPr>
            <w:tcW w:w="8502" w:type="dxa"/>
            <w:gridSpan w:val="6"/>
            <w:noWrap w:val="0"/>
            <w:vAlign w:val="center"/>
          </w:tcPr>
          <w:p w14:paraId="7620018F">
            <w:pPr>
              <w:jc w:val="center"/>
              <w:rPr>
                <w:rFonts w:hint="eastAsia" w:ascii="宋体" w:hAnsi="宋体" w:cs="宋体"/>
                <w:color w:val="auto"/>
                <w:sz w:val="24"/>
                <w:highlight w:val="none"/>
              </w:rPr>
            </w:pPr>
          </w:p>
        </w:tc>
      </w:tr>
      <w:tr w14:paraId="09D71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jc w:val="center"/>
        </w:trPr>
        <w:tc>
          <w:tcPr>
            <w:tcW w:w="1697" w:type="dxa"/>
            <w:noWrap w:val="0"/>
            <w:vAlign w:val="center"/>
          </w:tcPr>
          <w:p w14:paraId="6E01A1FD">
            <w:pPr>
              <w:jc w:val="center"/>
              <w:rPr>
                <w:rFonts w:hint="eastAsia" w:ascii="宋体" w:hAnsi="宋体" w:cs="宋体"/>
                <w:color w:val="auto"/>
                <w:sz w:val="24"/>
                <w:highlight w:val="none"/>
              </w:rPr>
            </w:pPr>
          </w:p>
          <w:p w14:paraId="074FD13C">
            <w:pPr>
              <w:jc w:val="center"/>
              <w:rPr>
                <w:rFonts w:hint="eastAsia" w:ascii="宋体" w:hAnsi="宋体" w:cs="宋体"/>
                <w:color w:val="auto"/>
                <w:sz w:val="24"/>
                <w:highlight w:val="none"/>
              </w:rPr>
            </w:pPr>
          </w:p>
          <w:p w14:paraId="79321541">
            <w:pPr>
              <w:pStyle w:val="14"/>
              <w:ind w:firstLine="0"/>
              <w:jc w:val="center"/>
              <w:rPr>
                <w:rFonts w:hint="eastAsia" w:ascii="宋体" w:hAnsi="宋体" w:cs="宋体"/>
                <w:color w:val="auto"/>
                <w:kern w:val="2"/>
                <w:sz w:val="24"/>
                <w:szCs w:val="24"/>
                <w:highlight w:val="none"/>
                <w:lang w:val="en-US" w:eastAsia="zh-CN"/>
              </w:rPr>
            </w:pPr>
            <w:r>
              <w:rPr>
                <w:rFonts w:hint="eastAsia" w:ascii="宋体" w:hAnsi="宋体" w:cs="宋体"/>
                <w:color w:val="auto"/>
                <w:kern w:val="2"/>
                <w:sz w:val="24"/>
                <w:szCs w:val="24"/>
                <w:highlight w:val="none"/>
                <w:lang w:val="en-US" w:eastAsia="zh-CN"/>
              </w:rPr>
              <w:t>经营范围</w:t>
            </w:r>
          </w:p>
          <w:p w14:paraId="4828452D">
            <w:pPr>
              <w:pStyle w:val="14"/>
              <w:jc w:val="center"/>
              <w:rPr>
                <w:rFonts w:hint="eastAsia" w:ascii="宋体" w:hAnsi="宋体" w:cs="宋体"/>
                <w:color w:val="auto"/>
                <w:kern w:val="2"/>
                <w:sz w:val="24"/>
                <w:szCs w:val="24"/>
                <w:highlight w:val="none"/>
                <w:lang w:val="en-US" w:eastAsia="zh-CN"/>
              </w:rPr>
            </w:pPr>
          </w:p>
        </w:tc>
        <w:tc>
          <w:tcPr>
            <w:tcW w:w="8502" w:type="dxa"/>
            <w:gridSpan w:val="6"/>
            <w:noWrap w:val="0"/>
            <w:vAlign w:val="center"/>
          </w:tcPr>
          <w:p w14:paraId="3E099568">
            <w:pPr>
              <w:jc w:val="center"/>
              <w:rPr>
                <w:rFonts w:hint="eastAsia" w:ascii="宋体" w:hAnsi="宋体" w:cs="宋体"/>
                <w:color w:val="auto"/>
                <w:sz w:val="24"/>
                <w:highlight w:val="none"/>
              </w:rPr>
            </w:pPr>
          </w:p>
        </w:tc>
      </w:tr>
    </w:tbl>
    <w:p w14:paraId="38BDDE47">
      <w:pPr>
        <w:rPr>
          <w:rFonts w:hint="eastAsia" w:ascii="宋体" w:hAnsi="宋体" w:cs="宋体"/>
          <w:color w:val="auto"/>
          <w:sz w:val="24"/>
          <w:highlight w:val="none"/>
        </w:rPr>
      </w:pPr>
    </w:p>
    <w:p w14:paraId="7EFD5351">
      <w:pPr>
        <w:bidi w:val="0"/>
        <w:rPr>
          <w:rFonts w:hint="eastAsia"/>
          <w:b/>
          <w:bCs/>
          <w:color w:val="auto"/>
          <w:highlight w:val="none"/>
          <w:lang w:eastAsia="zh-CN"/>
        </w:rPr>
      </w:pPr>
      <w:r>
        <w:rPr>
          <w:rFonts w:hint="eastAsia"/>
          <w:b/>
          <w:bCs/>
          <w:color w:val="auto"/>
          <w:highlight w:val="none"/>
          <w:lang w:eastAsia="zh-CN"/>
        </w:rPr>
        <w:t>填表须知：参选人应完整填写本表，而且保证所有填写内容是真实和有效的。</w:t>
      </w:r>
    </w:p>
    <w:p w14:paraId="7E80EAF3">
      <w:pPr>
        <w:spacing w:line="480" w:lineRule="auto"/>
        <w:jc w:val="right"/>
        <w:rPr>
          <w:rFonts w:hint="eastAsia" w:ascii="宋体" w:hAnsi="宋体" w:cs="宋体"/>
          <w:color w:val="auto"/>
          <w:sz w:val="24"/>
          <w:highlight w:val="none"/>
        </w:rPr>
      </w:pPr>
      <w:r>
        <w:rPr>
          <w:rFonts w:hint="eastAsia" w:ascii="宋体" w:hAnsi="宋体" w:cs="宋体"/>
          <w:color w:val="auto"/>
          <w:sz w:val="24"/>
          <w:highlight w:val="none"/>
        </w:rPr>
        <w:t xml:space="preserve">参选人：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（盖单位章）</w:t>
      </w:r>
    </w:p>
    <w:p w14:paraId="21B9C6F6">
      <w:pPr>
        <w:spacing w:line="480" w:lineRule="auto"/>
        <w:jc w:val="right"/>
        <w:rPr>
          <w:rFonts w:hint="eastAsia" w:ascii="宋体" w:hAnsi="宋体" w:cs="宋体"/>
          <w:color w:val="auto"/>
          <w:sz w:val="24"/>
          <w:highlight w:val="none"/>
        </w:rPr>
      </w:pPr>
      <w:r>
        <w:rPr>
          <w:rFonts w:hint="eastAsia" w:ascii="宋体" w:hAnsi="宋体" w:cs="宋体"/>
          <w:color w:val="auto"/>
          <w:sz w:val="24"/>
          <w:highlight w:val="none"/>
        </w:rPr>
        <w:t xml:space="preserve">法定代表人或被授权人：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（签字或盖章）</w:t>
      </w:r>
    </w:p>
    <w:p w14:paraId="582D2C01">
      <w:pPr>
        <w:spacing w:line="480" w:lineRule="auto"/>
        <w:jc w:val="right"/>
        <w:rPr>
          <w:rFonts w:hint="eastAsia" w:ascii="宋体" w:hAnsi="宋体" w:cs="宋体"/>
          <w:color w:val="auto"/>
          <w:sz w:val="24"/>
          <w:highlight w:val="none"/>
        </w:rPr>
      </w:pPr>
      <w:r>
        <w:rPr>
          <w:rFonts w:hint="eastAsia" w:ascii="宋体" w:hAnsi="宋体" w:cs="宋体"/>
          <w:color w:val="auto"/>
          <w:sz w:val="24"/>
          <w:highlight w:val="none"/>
        </w:rPr>
        <w:t>日期：   年    月    日</w:t>
      </w:r>
    </w:p>
    <w:p w14:paraId="60A9235D">
      <w:pPr>
        <w:pStyle w:val="3"/>
        <w:bidi w:val="0"/>
        <w:rPr>
          <w:rFonts w:hint="eastAsia" w:ascii="宋体" w:hAnsi="宋体" w:cs="宋体"/>
          <w:b w:val="0"/>
          <w:color w:val="auto"/>
          <w:szCs w:val="28"/>
          <w:highlight w:val="none"/>
        </w:rPr>
      </w:pPr>
      <w:r>
        <w:rPr>
          <w:rFonts w:hint="eastAsia" w:ascii="宋体" w:hAnsi="宋体" w:cs="宋体"/>
          <w:b w:val="0"/>
          <w:color w:val="auto"/>
          <w:szCs w:val="28"/>
          <w:highlight w:val="none"/>
        </w:rPr>
        <w:br w:type="page"/>
      </w:r>
      <w:bookmarkStart w:id="73" w:name="_Toc6382"/>
      <w:r>
        <w:rPr>
          <w:rFonts w:hint="eastAsia"/>
          <w:color w:val="auto"/>
          <w:highlight w:val="none"/>
        </w:rPr>
        <w:t>9、关于资格的声明函</w:t>
      </w:r>
      <w:bookmarkEnd w:id="73"/>
      <w:r>
        <w:rPr>
          <w:rFonts w:hint="eastAsia"/>
          <w:color w:val="auto"/>
          <w:highlight w:val="none"/>
        </w:rPr>
        <w:t xml:space="preserve"> </w:t>
      </w:r>
    </w:p>
    <w:p w14:paraId="7A098B21">
      <w:pPr>
        <w:widowControl/>
        <w:jc w:val="left"/>
        <w:rPr>
          <w:rFonts w:hint="eastAsia" w:ascii="宋体" w:hAnsi="宋体" w:cs="宋体"/>
          <w:color w:val="auto"/>
          <w:sz w:val="24"/>
          <w:highlight w:val="none"/>
        </w:rPr>
      </w:pPr>
    </w:p>
    <w:p w14:paraId="47097421">
      <w:pPr>
        <w:widowControl/>
        <w:jc w:val="left"/>
        <w:rPr>
          <w:rFonts w:hint="eastAsia" w:ascii="宋体" w:hAnsi="宋体" w:cs="宋体"/>
          <w:color w:val="auto"/>
          <w:sz w:val="24"/>
          <w:highlight w:val="none"/>
        </w:rPr>
      </w:pPr>
    </w:p>
    <w:p w14:paraId="4FD50C51">
      <w:pPr>
        <w:bidi w:val="0"/>
        <w:rPr>
          <w:rFonts w:hint="eastAsia"/>
          <w:color w:val="auto"/>
          <w:sz w:val="28"/>
          <w:szCs w:val="36"/>
          <w:highlight w:val="none"/>
        </w:rPr>
      </w:pPr>
      <w:r>
        <w:rPr>
          <w:rFonts w:hint="eastAsia"/>
          <w:color w:val="auto"/>
          <w:sz w:val="28"/>
          <w:szCs w:val="36"/>
          <w:highlight w:val="none"/>
        </w:rPr>
        <w:t>致：（比选人）</w:t>
      </w:r>
    </w:p>
    <w:p w14:paraId="3AF58FB0">
      <w:pPr>
        <w:bidi w:val="0"/>
        <w:rPr>
          <w:rFonts w:hint="eastAsia"/>
          <w:color w:val="auto"/>
          <w:highlight w:val="none"/>
        </w:rPr>
      </w:pPr>
    </w:p>
    <w:p w14:paraId="79FAB1D0">
      <w:pPr>
        <w:pStyle w:val="14"/>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关于贵方（项目名称、项目编号）参选邀请，本签字人愿意参加参选，提供比选文件中规定的</w:t>
      </w:r>
      <w:r>
        <w:rPr>
          <w:rFonts w:hint="eastAsia" w:ascii="宋体" w:hAnsi="宋体" w:eastAsia="宋体" w:cs="宋体"/>
          <w:color w:val="auto"/>
          <w:sz w:val="24"/>
          <w:szCs w:val="24"/>
          <w:highlight w:val="none"/>
          <w:lang w:eastAsia="zh-CN"/>
        </w:rPr>
        <w:t>参选人的资格要求</w:t>
      </w:r>
      <w:r>
        <w:rPr>
          <w:rFonts w:hint="eastAsia" w:ascii="宋体" w:hAnsi="宋体" w:eastAsia="宋体" w:cs="宋体"/>
          <w:color w:val="auto"/>
          <w:sz w:val="24"/>
          <w:szCs w:val="24"/>
          <w:highlight w:val="none"/>
        </w:rPr>
        <w:t xml:space="preserve">，并证明提交参选文件和说明是准确的和真实的。 </w:t>
      </w:r>
    </w:p>
    <w:p w14:paraId="30BBE02E">
      <w:pPr>
        <w:bidi w:val="0"/>
        <w:rPr>
          <w:rFonts w:hint="eastAsia"/>
          <w:color w:val="auto"/>
          <w:highlight w:val="none"/>
        </w:rPr>
      </w:pPr>
    </w:p>
    <w:p w14:paraId="1D7820CB">
      <w:pPr>
        <w:bidi w:val="0"/>
        <w:rPr>
          <w:rFonts w:hint="eastAsia"/>
          <w:color w:val="auto"/>
          <w:highlight w:val="none"/>
        </w:rPr>
      </w:pPr>
    </w:p>
    <w:p w14:paraId="3E099200">
      <w:pPr>
        <w:bidi w:val="0"/>
        <w:rPr>
          <w:rFonts w:hint="eastAsia"/>
          <w:color w:val="auto"/>
          <w:highlight w:val="none"/>
        </w:rPr>
      </w:pPr>
    </w:p>
    <w:p w14:paraId="690DD1F0">
      <w:pPr>
        <w:spacing w:line="480" w:lineRule="auto"/>
        <w:jc w:val="right"/>
        <w:rPr>
          <w:rFonts w:hint="eastAsia" w:ascii="宋体" w:hAnsi="宋体" w:cs="宋体"/>
          <w:color w:val="auto"/>
          <w:sz w:val="24"/>
          <w:highlight w:val="none"/>
        </w:rPr>
      </w:pPr>
      <w:r>
        <w:rPr>
          <w:rFonts w:hint="eastAsia" w:ascii="宋体" w:hAnsi="宋体" w:cs="宋体"/>
          <w:color w:val="auto"/>
          <w:sz w:val="24"/>
          <w:highlight w:val="none"/>
        </w:rPr>
        <w:t xml:space="preserve">参选人：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（盖单位章）</w:t>
      </w:r>
    </w:p>
    <w:p w14:paraId="089EB4AD">
      <w:pPr>
        <w:spacing w:line="480" w:lineRule="auto"/>
        <w:jc w:val="right"/>
        <w:rPr>
          <w:rFonts w:hint="eastAsia" w:ascii="宋体" w:hAnsi="宋体" w:cs="宋体"/>
          <w:color w:val="auto"/>
          <w:sz w:val="24"/>
          <w:highlight w:val="none"/>
        </w:rPr>
      </w:pPr>
      <w:r>
        <w:rPr>
          <w:rFonts w:hint="eastAsia" w:ascii="宋体" w:hAnsi="宋体" w:cs="宋体"/>
          <w:color w:val="auto"/>
          <w:sz w:val="24"/>
          <w:highlight w:val="none"/>
        </w:rPr>
        <w:t xml:space="preserve">法定代表人或被授权人：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（签字或盖章）</w:t>
      </w:r>
    </w:p>
    <w:p w14:paraId="6986B791">
      <w:pPr>
        <w:spacing w:line="480" w:lineRule="auto"/>
        <w:jc w:val="right"/>
        <w:rPr>
          <w:rFonts w:hint="eastAsia" w:ascii="宋体" w:hAnsi="宋体" w:cs="宋体"/>
          <w:color w:val="auto"/>
          <w:sz w:val="24"/>
          <w:highlight w:val="none"/>
        </w:rPr>
      </w:pPr>
      <w:r>
        <w:rPr>
          <w:rFonts w:hint="eastAsia" w:ascii="宋体" w:hAnsi="宋体" w:cs="宋体"/>
          <w:color w:val="auto"/>
          <w:sz w:val="24"/>
          <w:highlight w:val="none"/>
        </w:rPr>
        <w:t>日期：   年    月    日</w:t>
      </w:r>
    </w:p>
    <w:p w14:paraId="618E57AF">
      <w:pPr>
        <w:widowControl/>
        <w:spacing w:line="480" w:lineRule="auto"/>
        <w:jc w:val="right"/>
        <w:rPr>
          <w:rFonts w:hint="eastAsia" w:ascii="宋体" w:hAnsi="宋体" w:cs="宋体"/>
          <w:color w:val="auto"/>
          <w:sz w:val="24"/>
          <w:highlight w:val="none"/>
        </w:rPr>
      </w:pPr>
      <w:r>
        <w:rPr>
          <w:rFonts w:hint="eastAsia" w:ascii="宋体" w:hAnsi="宋体" w:cs="宋体"/>
          <w:color w:val="auto"/>
          <w:sz w:val="24"/>
          <w:highlight w:val="none"/>
        </w:rPr>
        <w:t xml:space="preserve"> </w:t>
      </w:r>
    </w:p>
    <w:p w14:paraId="30D8A2C1">
      <w:pPr>
        <w:widowControl/>
        <w:jc w:val="left"/>
        <w:rPr>
          <w:rFonts w:hint="eastAsia" w:ascii="宋体" w:hAnsi="宋体" w:cs="宋体"/>
          <w:color w:val="auto"/>
          <w:sz w:val="24"/>
          <w:highlight w:val="none"/>
        </w:rPr>
      </w:pPr>
    </w:p>
    <w:p w14:paraId="2AE81085">
      <w:pPr>
        <w:pStyle w:val="21"/>
        <w:rPr>
          <w:rFonts w:hint="eastAsia" w:hAnsi="宋体" w:cs="宋体"/>
          <w:b w:val="0"/>
          <w:color w:val="auto"/>
          <w:sz w:val="24"/>
          <w:szCs w:val="24"/>
          <w:highlight w:val="none"/>
        </w:rPr>
      </w:pPr>
    </w:p>
    <w:p w14:paraId="12732E32">
      <w:pPr>
        <w:spacing w:line="360" w:lineRule="auto"/>
        <w:jc w:val="center"/>
        <w:rPr>
          <w:rFonts w:hint="eastAsia" w:ascii="宋体" w:hAnsi="宋体" w:cs="宋体"/>
          <w:b/>
          <w:color w:val="auto"/>
          <w:sz w:val="24"/>
          <w:highlight w:val="none"/>
        </w:rPr>
      </w:pPr>
    </w:p>
    <w:p w14:paraId="394B8A62">
      <w:pPr>
        <w:pStyle w:val="21"/>
        <w:rPr>
          <w:rFonts w:hint="eastAsia" w:hAnsi="宋体" w:cs="宋体"/>
          <w:b w:val="0"/>
          <w:color w:val="auto"/>
          <w:sz w:val="24"/>
          <w:szCs w:val="24"/>
          <w:highlight w:val="none"/>
        </w:rPr>
      </w:pPr>
    </w:p>
    <w:p w14:paraId="7E9CB075">
      <w:pPr>
        <w:pStyle w:val="21"/>
        <w:rPr>
          <w:rFonts w:hint="eastAsia" w:hAnsi="宋体" w:cs="宋体"/>
          <w:b w:val="0"/>
          <w:color w:val="auto"/>
          <w:sz w:val="24"/>
          <w:szCs w:val="24"/>
          <w:highlight w:val="none"/>
        </w:rPr>
      </w:pPr>
    </w:p>
    <w:p w14:paraId="48B785CF">
      <w:pPr>
        <w:pStyle w:val="21"/>
        <w:rPr>
          <w:rFonts w:hint="eastAsia" w:hAnsi="宋体" w:cs="宋体"/>
          <w:b w:val="0"/>
          <w:color w:val="auto"/>
          <w:sz w:val="24"/>
          <w:szCs w:val="24"/>
          <w:highlight w:val="none"/>
        </w:rPr>
      </w:pPr>
    </w:p>
    <w:p w14:paraId="1308A657">
      <w:pPr>
        <w:pStyle w:val="21"/>
        <w:rPr>
          <w:rFonts w:hint="eastAsia" w:hAnsi="宋体" w:cs="宋体"/>
          <w:b w:val="0"/>
          <w:color w:val="auto"/>
          <w:sz w:val="24"/>
          <w:szCs w:val="24"/>
          <w:highlight w:val="none"/>
        </w:rPr>
      </w:pPr>
    </w:p>
    <w:p w14:paraId="743E3B45">
      <w:pPr>
        <w:pStyle w:val="21"/>
        <w:rPr>
          <w:rFonts w:hint="eastAsia" w:hAnsi="宋体" w:cs="宋体"/>
          <w:b w:val="0"/>
          <w:color w:val="auto"/>
          <w:sz w:val="24"/>
          <w:szCs w:val="24"/>
          <w:highlight w:val="none"/>
        </w:rPr>
      </w:pPr>
    </w:p>
    <w:p w14:paraId="5E5B303F">
      <w:pPr>
        <w:pStyle w:val="21"/>
        <w:rPr>
          <w:rFonts w:hint="eastAsia" w:hAnsi="宋体" w:cs="宋体"/>
          <w:b w:val="0"/>
          <w:color w:val="auto"/>
          <w:sz w:val="24"/>
          <w:szCs w:val="24"/>
          <w:highlight w:val="none"/>
        </w:rPr>
      </w:pPr>
    </w:p>
    <w:p w14:paraId="115D0721">
      <w:pPr>
        <w:pStyle w:val="21"/>
        <w:rPr>
          <w:rFonts w:hint="eastAsia" w:hAnsi="宋体" w:cs="宋体"/>
          <w:b w:val="0"/>
          <w:color w:val="auto"/>
          <w:sz w:val="24"/>
          <w:szCs w:val="24"/>
          <w:highlight w:val="none"/>
        </w:rPr>
      </w:pPr>
    </w:p>
    <w:p w14:paraId="452AA436">
      <w:pPr>
        <w:pStyle w:val="21"/>
        <w:rPr>
          <w:rFonts w:hint="eastAsia" w:hAnsi="宋体" w:cs="宋体"/>
          <w:b w:val="0"/>
          <w:color w:val="auto"/>
          <w:sz w:val="24"/>
          <w:szCs w:val="24"/>
          <w:highlight w:val="none"/>
        </w:rPr>
      </w:pPr>
    </w:p>
    <w:p w14:paraId="6244E11B">
      <w:pPr>
        <w:pStyle w:val="3"/>
        <w:bidi w:val="0"/>
        <w:rPr>
          <w:rFonts w:hint="eastAsia"/>
          <w:color w:val="auto"/>
          <w:highlight w:val="none"/>
        </w:rPr>
      </w:pPr>
      <w:bookmarkStart w:id="74" w:name="_Toc19943"/>
      <w:r>
        <w:rPr>
          <w:rFonts w:hint="eastAsia"/>
          <w:color w:val="auto"/>
          <w:highlight w:val="none"/>
        </w:rPr>
        <w:t>10、相关方案</w:t>
      </w:r>
      <w:bookmarkEnd w:id="74"/>
    </w:p>
    <w:p w14:paraId="7B0A405B">
      <w:pPr>
        <w:spacing w:line="360" w:lineRule="auto"/>
        <w:rPr>
          <w:rFonts w:hint="eastAsia" w:ascii="宋体" w:hAnsi="宋体" w:cs="宋体"/>
          <w:color w:val="auto"/>
          <w:sz w:val="24"/>
          <w:highlight w:val="none"/>
        </w:rPr>
      </w:pPr>
      <w:r>
        <w:rPr>
          <w:rFonts w:hint="eastAsia" w:ascii="宋体" w:hAnsi="宋体" w:cs="宋体"/>
          <w:color w:val="auto"/>
          <w:sz w:val="24"/>
          <w:highlight w:val="none"/>
        </w:rPr>
        <w:t>1）相关方案；</w:t>
      </w:r>
    </w:p>
    <w:p w14:paraId="670235CE">
      <w:pPr>
        <w:pStyle w:val="14"/>
        <w:spacing w:line="360" w:lineRule="auto"/>
        <w:ind w:firstLine="0"/>
        <w:rPr>
          <w:rFonts w:hint="eastAsia" w:ascii="宋体" w:hAnsi="宋体" w:cs="宋体"/>
          <w:color w:val="auto"/>
          <w:sz w:val="24"/>
          <w:szCs w:val="24"/>
          <w:highlight w:val="none"/>
        </w:rPr>
      </w:pPr>
      <w:r>
        <w:rPr>
          <w:rFonts w:hint="eastAsia" w:ascii="宋体" w:hAnsi="宋体" w:cs="宋体"/>
          <w:color w:val="auto"/>
          <w:sz w:val="24"/>
          <w:szCs w:val="24"/>
          <w:highlight w:val="none"/>
        </w:rPr>
        <w:t>2）参选人认为有必要提供的其他有关材料及相关评分材料。</w:t>
      </w:r>
    </w:p>
    <w:p w14:paraId="6B1E3033">
      <w:pPr>
        <w:pStyle w:val="7"/>
        <w:jc w:val="center"/>
        <w:rPr>
          <w:rFonts w:hint="eastAsia" w:hAnsi="宋体" w:cs="宋体"/>
          <w:color w:val="auto"/>
          <w:sz w:val="24"/>
          <w:highlight w:val="none"/>
        </w:rPr>
      </w:pPr>
    </w:p>
    <w:p w14:paraId="71DADC5D">
      <w:pPr>
        <w:pStyle w:val="7"/>
        <w:jc w:val="center"/>
        <w:rPr>
          <w:rFonts w:hint="eastAsia" w:hAnsi="宋体" w:cs="宋体"/>
          <w:color w:val="auto"/>
          <w:sz w:val="24"/>
          <w:highlight w:val="none"/>
        </w:rPr>
      </w:pPr>
    </w:p>
    <w:p w14:paraId="2C1F21AF">
      <w:pPr>
        <w:pStyle w:val="7"/>
        <w:jc w:val="center"/>
        <w:rPr>
          <w:rFonts w:hint="eastAsia" w:hAnsi="宋体" w:cs="宋体"/>
          <w:color w:val="auto"/>
          <w:sz w:val="24"/>
          <w:highlight w:val="none"/>
        </w:rPr>
      </w:pPr>
    </w:p>
    <w:p w14:paraId="3012AF52">
      <w:pPr>
        <w:pStyle w:val="7"/>
        <w:jc w:val="center"/>
        <w:rPr>
          <w:rFonts w:hint="eastAsia" w:hAnsi="宋体" w:cs="宋体"/>
          <w:color w:val="auto"/>
          <w:sz w:val="24"/>
          <w:highlight w:val="none"/>
        </w:rPr>
      </w:pPr>
      <w:r>
        <w:rPr>
          <w:rFonts w:hint="eastAsia" w:hAnsi="宋体" w:cs="宋体"/>
          <w:color w:val="auto"/>
          <w:sz w:val="24"/>
          <w:highlight w:val="none"/>
        </w:rPr>
        <w:t>（由参选人自行填写）</w:t>
      </w:r>
    </w:p>
    <w:p w14:paraId="0B63AB7A">
      <w:pPr>
        <w:spacing w:line="360" w:lineRule="auto"/>
        <w:jc w:val="center"/>
        <w:rPr>
          <w:rFonts w:hint="eastAsia" w:ascii="宋体" w:hAnsi="宋体" w:cs="宋体"/>
          <w:b/>
          <w:color w:val="auto"/>
          <w:sz w:val="24"/>
          <w:highlight w:val="none"/>
        </w:rPr>
      </w:pPr>
    </w:p>
    <w:p w14:paraId="4096AB26">
      <w:pPr>
        <w:spacing w:line="360" w:lineRule="auto"/>
        <w:jc w:val="center"/>
        <w:rPr>
          <w:rFonts w:hint="eastAsia" w:ascii="宋体" w:hAnsi="宋体" w:cs="宋体"/>
          <w:b/>
          <w:color w:val="auto"/>
          <w:sz w:val="24"/>
          <w:highlight w:val="none"/>
        </w:rPr>
      </w:pPr>
    </w:p>
    <w:p w14:paraId="076EA9FC">
      <w:pPr>
        <w:pStyle w:val="21"/>
        <w:rPr>
          <w:rFonts w:hint="eastAsia" w:hAnsi="宋体" w:cs="宋体"/>
          <w:color w:val="auto"/>
          <w:sz w:val="24"/>
          <w:szCs w:val="24"/>
          <w:highlight w:val="none"/>
        </w:rPr>
      </w:pPr>
    </w:p>
    <w:p w14:paraId="090D2B0C">
      <w:pPr>
        <w:pStyle w:val="21"/>
        <w:rPr>
          <w:rFonts w:hint="eastAsia" w:hAnsi="宋体" w:cs="宋体"/>
          <w:color w:val="auto"/>
          <w:sz w:val="24"/>
          <w:szCs w:val="24"/>
          <w:highlight w:val="none"/>
        </w:rPr>
      </w:pPr>
    </w:p>
    <w:p w14:paraId="3C4C79AD">
      <w:pPr>
        <w:pStyle w:val="21"/>
        <w:rPr>
          <w:rFonts w:hint="eastAsia" w:hAnsi="宋体" w:cs="宋体"/>
          <w:color w:val="auto"/>
          <w:sz w:val="24"/>
          <w:szCs w:val="24"/>
          <w:highlight w:val="none"/>
        </w:rPr>
      </w:pPr>
    </w:p>
    <w:p w14:paraId="050ACA7E">
      <w:pPr>
        <w:pStyle w:val="21"/>
        <w:rPr>
          <w:rFonts w:hint="eastAsia" w:hAnsi="宋体" w:cs="宋体"/>
          <w:color w:val="auto"/>
          <w:sz w:val="24"/>
          <w:szCs w:val="24"/>
          <w:highlight w:val="none"/>
        </w:rPr>
      </w:pPr>
    </w:p>
    <w:p w14:paraId="1D3644B1">
      <w:pPr>
        <w:pStyle w:val="21"/>
        <w:rPr>
          <w:rFonts w:hint="eastAsia" w:hAnsi="宋体" w:cs="宋体"/>
          <w:color w:val="auto"/>
          <w:sz w:val="24"/>
          <w:szCs w:val="24"/>
          <w:highlight w:val="none"/>
        </w:rPr>
      </w:pPr>
    </w:p>
    <w:p w14:paraId="73FEBC4D">
      <w:pPr>
        <w:pStyle w:val="21"/>
        <w:rPr>
          <w:rFonts w:hint="eastAsia" w:hAnsi="宋体" w:cs="宋体"/>
          <w:color w:val="auto"/>
          <w:sz w:val="24"/>
          <w:szCs w:val="24"/>
          <w:highlight w:val="none"/>
        </w:rPr>
      </w:pPr>
    </w:p>
    <w:p w14:paraId="0AB9F373">
      <w:pPr>
        <w:pStyle w:val="21"/>
        <w:rPr>
          <w:rFonts w:hint="eastAsia" w:hAnsi="宋体" w:cs="宋体"/>
          <w:color w:val="auto"/>
          <w:sz w:val="24"/>
          <w:szCs w:val="24"/>
          <w:highlight w:val="none"/>
        </w:rPr>
      </w:pPr>
    </w:p>
    <w:p w14:paraId="38695C54">
      <w:pPr>
        <w:pStyle w:val="21"/>
        <w:rPr>
          <w:rFonts w:hint="eastAsia" w:hAnsi="宋体" w:cs="宋体"/>
          <w:color w:val="auto"/>
          <w:sz w:val="24"/>
          <w:szCs w:val="24"/>
          <w:highlight w:val="none"/>
        </w:rPr>
      </w:pPr>
    </w:p>
    <w:p w14:paraId="3C403231">
      <w:pPr>
        <w:pStyle w:val="21"/>
        <w:rPr>
          <w:rFonts w:hint="eastAsia" w:hAnsi="宋体" w:cs="宋体"/>
          <w:color w:val="auto"/>
          <w:sz w:val="24"/>
          <w:szCs w:val="24"/>
          <w:highlight w:val="none"/>
        </w:rPr>
      </w:pPr>
    </w:p>
    <w:p w14:paraId="04F5ABE1">
      <w:pPr>
        <w:rPr>
          <w:color w:val="auto"/>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3B31A1">
    <w:pPr>
      <w:pStyle w:val="8"/>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5EF8A29">
                          <w:pPr>
                            <w:pStyle w:val="8"/>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4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AAoOUNOgIAAHAEAAAOAAAAAAAAAAEAIAAAAB8BAABkcnMvZTJvRG9j&#10;LnhtbFBLBQYAAAAABgAGAFkBAADLBQAAAAA=&#10;">
              <v:fill on="f" focussize="0,0"/>
              <v:stroke on="f" weight="0.5pt"/>
              <v:imagedata o:title=""/>
              <o:lock v:ext="edit" aspectratio="f"/>
              <v:textbox inset="0mm,0mm,0mm,0mm" style="mso-fit-shape-to-text:t;">
                <w:txbxContent>
                  <w:p w14:paraId="75EF8A29">
                    <w:pPr>
                      <w:pStyle w:val="8"/>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7F9563">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6D2C15C">
                          <w:pPr>
                            <w:pStyle w:val="8"/>
                          </w:pPr>
                          <w:r>
                            <w:fldChar w:fldCharType="begin"/>
                          </w:r>
                          <w:r>
                            <w:instrText xml:space="preserve"> PAGE  \* MERGEFORMAT </w:instrText>
                          </w:r>
                          <w:r>
                            <w:fldChar w:fldCharType="separate"/>
                          </w:r>
                          <w:r>
                            <w:t>23</w:t>
                          </w:r>
                          <w:r>
                            <w:fldChar w:fldCharType="end"/>
                          </w:r>
                        </w:p>
                      </w:txbxContent>
                    </wps:txbx>
                    <wps:bodyPr vert="horz" wrap="none" lIns="0" tIns="0" rIns="0" bIns="0" anchor="t" anchorCtr="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WPkyr3gEAAL4DAAAOAAAAAAAA&#10;AAEAIAAAAB4BAABkcnMvZTJvRG9jLnhtbFBLBQYAAAAABgAGAFkBAABuBQAAAAA=&#10;">
              <v:fill on="f" focussize="0,0"/>
              <v:stroke on="f"/>
              <v:imagedata o:title=""/>
              <o:lock v:ext="edit" aspectratio="f"/>
              <v:textbox inset="0mm,0mm,0mm,0mm" style="mso-fit-shape-to-text:t;">
                <w:txbxContent>
                  <w:p w14:paraId="36D2C15C">
                    <w:pPr>
                      <w:pStyle w:val="8"/>
                    </w:pPr>
                    <w:r>
                      <w:fldChar w:fldCharType="begin"/>
                    </w:r>
                    <w:r>
                      <w:instrText xml:space="preserve"> PAGE  \* MERGEFORMAT </w:instrText>
                    </w:r>
                    <w:r>
                      <w:fldChar w:fldCharType="separate"/>
                    </w:r>
                    <w:r>
                      <w:t>23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34B1FC"/>
    <w:multiLevelType w:val="singleLevel"/>
    <w:tmpl w:val="BF34B1FC"/>
    <w:lvl w:ilvl="0" w:tentative="0">
      <w:start w:val="6"/>
      <w:numFmt w:val="decimal"/>
      <w:suff w:val="nothing"/>
      <w:lvlText w:val="%1、"/>
      <w:lvlJc w:val="left"/>
    </w:lvl>
  </w:abstractNum>
  <w:abstractNum w:abstractNumId="1">
    <w:nsid w:val="C031ED45"/>
    <w:multiLevelType w:val="singleLevel"/>
    <w:tmpl w:val="C031ED45"/>
    <w:lvl w:ilvl="0" w:tentative="0">
      <w:start w:val="2"/>
      <w:numFmt w:val="decimal"/>
      <w:suff w:val="nothing"/>
      <w:lvlText w:val="（%1）"/>
      <w:lvlJc w:val="left"/>
    </w:lvl>
  </w:abstractNum>
  <w:abstractNum w:abstractNumId="2">
    <w:nsid w:val="00000010"/>
    <w:multiLevelType w:val="singleLevel"/>
    <w:tmpl w:val="00000010"/>
    <w:lvl w:ilvl="0" w:tentative="0">
      <w:start w:val="1"/>
      <w:numFmt w:val="decimal"/>
      <w:suff w:val="nothing"/>
      <w:lvlText w:val="（%1）"/>
      <w:lvlJc w:val="left"/>
    </w:lvl>
  </w:abstractNum>
  <w:abstractNum w:abstractNumId="3">
    <w:nsid w:val="00E7808E"/>
    <w:multiLevelType w:val="singleLevel"/>
    <w:tmpl w:val="00E7808E"/>
    <w:lvl w:ilvl="0" w:tentative="0">
      <w:start w:val="4"/>
      <w:numFmt w:val="chineseCounting"/>
      <w:suff w:val="nothing"/>
      <w:lvlText w:val="第%1章、"/>
      <w:lvlJc w:val="left"/>
      <w:rPr>
        <w:rFonts w:hint="eastAsia"/>
      </w:rPr>
    </w:lvl>
  </w:abstractNum>
  <w:abstractNum w:abstractNumId="4">
    <w:nsid w:val="37D55693"/>
    <w:multiLevelType w:val="singleLevel"/>
    <w:tmpl w:val="37D55693"/>
    <w:lvl w:ilvl="0" w:tentative="0">
      <w:start w:val="2"/>
      <w:numFmt w:val="decimal"/>
      <w:suff w:val="nothing"/>
      <w:lvlText w:val="%1、"/>
      <w:lvlJc w:val="left"/>
      <w:pPr>
        <w:ind w:left="280" w:firstLine="0"/>
      </w:pPr>
    </w:lvl>
  </w:abstractNum>
  <w:abstractNum w:abstractNumId="5">
    <w:nsid w:val="387C05A9"/>
    <w:multiLevelType w:val="singleLevel"/>
    <w:tmpl w:val="387C05A9"/>
    <w:lvl w:ilvl="0" w:tentative="0">
      <w:start w:val="1"/>
      <w:numFmt w:val="decimal"/>
      <w:lvlText w:val="%1."/>
      <w:lvlJc w:val="left"/>
      <w:pPr>
        <w:tabs>
          <w:tab w:val="left" w:pos="312"/>
        </w:tabs>
      </w:pPr>
    </w:lvl>
  </w:abstractNum>
  <w:abstractNum w:abstractNumId="6">
    <w:nsid w:val="3A141CEF"/>
    <w:multiLevelType w:val="singleLevel"/>
    <w:tmpl w:val="3A141CEF"/>
    <w:lvl w:ilvl="0" w:tentative="0">
      <w:start w:val="8"/>
      <w:numFmt w:val="chineseCounting"/>
      <w:suff w:val="nothing"/>
      <w:lvlText w:val="%1、"/>
      <w:lvlJc w:val="left"/>
      <w:rPr>
        <w:rFonts w:hint="eastAsia"/>
      </w:rPr>
    </w:lvl>
  </w:abstractNum>
  <w:abstractNum w:abstractNumId="7">
    <w:nsid w:val="3D30E2BD"/>
    <w:multiLevelType w:val="singleLevel"/>
    <w:tmpl w:val="3D30E2BD"/>
    <w:lvl w:ilvl="0" w:tentative="0">
      <w:start w:val="1"/>
      <w:numFmt w:val="chineseCounting"/>
      <w:suff w:val="space"/>
      <w:lvlText w:val="第%1章"/>
      <w:lvlJc w:val="left"/>
      <w:rPr>
        <w:rFonts w:hint="eastAsia"/>
      </w:rPr>
    </w:lvl>
  </w:abstractNum>
  <w:abstractNum w:abstractNumId="8">
    <w:nsid w:val="554ADD91"/>
    <w:multiLevelType w:val="singleLevel"/>
    <w:tmpl w:val="554ADD91"/>
    <w:lvl w:ilvl="0" w:tentative="0">
      <w:start w:val="1"/>
      <w:numFmt w:val="chineseCounting"/>
      <w:suff w:val="nothing"/>
      <w:lvlText w:val="%1、"/>
      <w:lvlJc w:val="left"/>
    </w:lvl>
  </w:abstractNum>
  <w:abstractNum w:abstractNumId="9">
    <w:nsid w:val="554B089A"/>
    <w:multiLevelType w:val="singleLevel"/>
    <w:tmpl w:val="554B089A"/>
    <w:lvl w:ilvl="0" w:tentative="0">
      <w:start w:val="1"/>
      <w:numFmt w:val="decimal"/>
      <w:suff w:val="nothing"/>
      <w:lvlText w:val="%1、"/>
      <w:lvlJc w:val="left"/>
    </w:lvl>
  </w:abstractNum>
  <w:abstractNum w:abstractNumId="10">
    <w:nsid w:val="554C57FF"/>
    <w:multiLevelType w:val="singleLevel"/>
    <w:tmpl w:val="554C57FF"/>
    <w:lvl w:ilvl="0" w:tentative="0">
      <w:start w:val="1"/>
      <w:numFmt w:val="decimal"/>
      <w:suff w:val="nothing"/>
      <w:lvlText w:val="%1、"/>
      <w:lvlJc w:val="left"/>
      <w:pPr>
        <w:ind w:left="0" w:firstLine="0"/>
      </w:pPr>
      <w:rPr>
        <w:rFonts w:hint="eastAsia"/>
      </w:rPr>
    </w:lvl>
  </w:abstractNum>
  <w:num w:numId="1">
    <w:abstractNumId w:val="7"/>
  </w:num>
  <w:num w:numId="2">
    <w:abstractNumId w:val="6"/>
  </w:num>
  <w:num w:numId="3">
    <w:abstractNumId w:val="0"/>
  </w:num>
  <w:num w:numId="4">
    <w:abstractNumId w:val="2"/>
  </w:num>
  <w:num w:numId="5">
    <w:abstractNumId w:val="1"/>
  </w:num>
  <w:num w:numId="6">
    <w:abstractNumId w:val="3"/>
  </w:num>
  <w:num w:numId="7">
    <w:abstractNumId w:val="8"/>
  </w:num>
  <w:num w:numId="8">
    <w:abstractNumId w:val="9"/>
  </w:num>
  <w:num w:numId="9">
    <w:abstractNumId w:val="4"/>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F878A7"/>
    <w:rsid w:val="086B7087"/>
    <w:rsid w:val="0DCE00CD"/>
    <w:rsid w:val="0E21695A"/>
    <w:rsid w:val="0F021039"/>
    <w:rsid w:val="100961A8"/>
    <w:rsid w:val="12692461"/>
    <w:rsid w:val="12E966C2"/>
    <w:rsid w:val="1303565C"/>
    <w:rsid w:val="16674766"/>
    <w:rsid w:val="18543C75"/>
    <w:rsid w:val="1B150B1A"/>
    <w:rsid w:val="1E395BEE"/>
    <w:rsid w:val="2A14048D"/>
    <w:rsid w:val="2B570FA2"/>
    <w:rsid w:val="2D252FC9"/>
    <w:rsid w:val="30324D1A"/>
    <w:rsid w:val="31584F3A"/>
    <w:rsid w:val="33E92C83"/>
    <w:rsid w:val="34603B16"/>
    <w:rsid w:val="3582657F"/>
    <w:rsid w:val="3669675E"/>
    <w:rsid w:val="391A6C8E"/>
    <w:rsid w:val="3B0C4572"/>
    <w:rsid w:val="3B90100E"/>
    <w:rsid w:val="3D2959BD"/>
    <w:rsid w:val="3F5D36AA"/>
    <w:rsid w:val="46D354BF"/>
    <w:rsid w:val="49A80166"/>
    <w:rsid w:val="4A1E05CC"/>
    <w:rsid w:val="4D9849E0"/>
    <w:rsid w:val="52BC48CD"/>
    <w:rsid w:val="52F972DC"/>
    <w:rsid w:val="5A6B412F"/>
    <w:rsid w:val="5E3A627B"/>
    <w:rsid w:val="614A5B82"/>
    <w:rsid w:val="6938470E"/>
    <w:rsid w:val="6B7845E0"/>
    <w:rsid w:val="6BC20C11"/>
    <w:rsid w:val="73B033DB"/>
    <w:rsid w:val="747E3A16"/>
    <w:rsid w:val="785F1953"/>
    <w:rsid w:val="7DC5508F"/>
    <w:rsid w:val="7E9409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9"/>
    <w:qFormat/>
    <w:uiPriority w:val="0"/>
    <w:pPr>
      <w:keepNext/>
      <w:keepLines/>
      <w:spacing w:before="340" w:after="330" w:line="576" w:lineRule="auto"/>
      <w:jc w:val="center"/>
      <w:outlineLvl w:val="0"/>
    </w:pPr>
    <w:rPr>
      <w:rFonts w:ascii="Times New Roman" w:hAnsi="Times New Roman" w:eastAsia="宋体"/>
      <w:b/>
      <w:kern w:val="44"/>
      <w:sz w:val="36"/>
    </w:rPr>
  </w:style>
  <w:style w:type="paragraph" w:styleId="3">
    <w:name w:val="heading 2"/>
    <w:basedOn w:val="1"/>
    <w:next w:val="1"/>
    <w:link w:val="20"/>
    <w:qFormat/>
    <w:uiPriority w:val="0"/>
    <w:pPr>
      <w:keepNext/>
      <w:keepLines/>
      <w:spacing w:before="260" w:after="260" w:line="416" w:lineRule="auto"/>
      <w:outlineLvl w:val="1"/>
    </w:pPr>
    <w:rPr>
      <w:rFonts w:ascii="Cambria" w:hAnsi="Cambria" w:eastAsia="宋体"/>
      <w:b/>
      <w:bCs/>
      <w:sz w:val="30"/>
      <w:szCs w:val="32"/>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4">
    <w:name w:val="toa heading"/>
    <w:basedOn w:val="1"/>
    <w:next w:val="1"/>
    <w:qFormat/>
    <w:uiPriority w:val="0"/>
    <w:pPr>
      <w:spacing w:before="120"/>
    </w:pPr>
    <w:rPr>
      <w:rFonts w:ascii="Cambria" w:hAnsi="Cambria" w:cs="Times New Roman"/>
      <w:sz w:val="24"/>
    </w:rPr>
  </w:style>
  <w:style w:type="paragraph" w:styleId="5">
    <w:name w:val="Body Text"/>
    <w:basedOn w:val="1"/>
    <w:next w:val="1"/>
    <w:qFormat/>
    <w:uiPriority w:val="99"/>
    <w:pPr>
      <w:spacing w:after="120"/>
    </w:pPr>
    <w:rPr>
      <w:kern w:val="0"/>
    </w:rPr>
  </w:style>
  <w:style w:type="paragraph" w:styleId="6">
    <w:name w:val="Body Text Indent"/>
    <w:basedOn w:val="1"/>
    <w:qFormat/>
    <w:uiPriority w:val="0"/>
    <w:rPr>
      <w:kern w:val="0"/>
      <w:sz w:val="24"/>
    </w:rPr>
  </w:style>
  <w:style w:type="paragraph" w:styleId="7">
    <w:name w:val="Plain Text"/>
    <w:basedOn w:val="1"/>
    <w:next w:val="1"/>
    <w:qFormat/>
    <w:uiPriority w:val="0"/>
    <w:rPr>
      <w:rFonts w:ascii="宋体" w:hAnsi="Courier New"/>
      <w:kern w:val="0"/>
      <w:sz w:val="20"/>
    </w:rPr>
  </w:style>
  <w:style w:type="paragraph" w:styleId="8">
    <w:name w:val="footer"/>
    <w:basedOn w:val="1"/>
    <w:unhideWhenUsed/>
    <w:qFormat/>
    <w:uiPriority w:val="99"/>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0"/>
    <w:pPr>
      <w:spacing w:before="120"/>
      <w:jc w:val="left"/>
    </w:pPr>
    <w:rPr>
      <w:rFonts w:ascii="Times New Roman" w:hAnsi="Times New Roman" w:eastAsia="宋体" w:cs="Times New Roman"/>
      <w:b/>
      <w:bCs/>
      <w:iCs/>
      <w:sz w:val="24"/>
      <w:szCs w:val="24"/>
    </w:rPr>
  </w:style>
  <w:style w:type="paragraph" w:styleId="11">
    <w:name w:val="toc 2"/>
    <w:basedOn w:val="1"/>
    <w:next w:val="1"/>
    <w:qFormat/>
    <w:uiPriority w:val="39"/>
    <w:pPr>
      <w:tabs>
        <w:tab w:val="left" w:pos="720"/>
        <w:tab w:val="right" w:leader="dot" w:pos="8820"/>
      </w:tabs>
      <w:spacing w:before="120"/>
      <w:ind w:left="210"/>
      <w:jc w:val="left"/>
    </w:pPr>
    <w:rPr>
      <w:b/>
      <w:bCs/>
      <w:sz w:val="22"/>
      <w:szCs w:val="22"/>
    </w:rPr>
  </w:style>
  <w:style w:type="paragraph" w:styleId="12">
    <w:name w:val="Body Text 2"/>
    <w:basedOn w:val="1"/>
    <w:link w:val="25"/>
    <w:qFormat/>
    <w:uiPriority w:val="99"/>
    <w:pPr>
      <w:spacing w:after="120" w:line="480" w:lineRule="auto"/>
    </w:pPr>
    <w:rPr>
      <w:kern w:val="0"/>
      <w:sz w:val="20"/>
      <w:szCs w:val="20"/>
    </w:rPr>
  </w:style>
  <w:style w:type="paragraph" w:styleId="13">
    <w:name w:val="Normal (Web)"/>
    <w:basedOn w:val="1"/>
    <w:qFormat/>
    <w:uiPriority w:val="0"/>
    <w:pPr>
      <w:widowControl/>
      <w:spacing w:before="75" w:after="150" w:line="384" w:lineRule="atLeast"/>
      <w:ind w:firstLine="240"/>
      <w:jc w:val="left"/>
    </w:pPr>
    <w:rPr>
      <w:rFonts w:ascii="ˎ̥" w:hAnsi="ˎ̥" w:cs="宋体"/>
      <w:kern w:val="0"/>
      <w:sz w:val="18"/>
      <w:szCs w:val="18"/>
    </w:rPr>
  </w:style>
  <w:style w:type="paragraph" w:styleId="14">
    <w:name w:val="Body Text First Indent"/>
    <w:basedOn w:val="5"/>
    <w:next w:val="1"/>
    <w:qFormat/>
    <w:uiPriority w:val="99"/>
    <w:pPr>
      <w:ind w:firstLine="420"/>
    </w:pPr>
    <w:rPr>
      <w:szCs w:val="28"/>
    </w:rPr>
  </w:style>
  <w:style w:type="paragraph" w:styleId="15">
    <w:name w:val="Body Text First Indent 2"/>
    <w:basedOn w:val="6"/>
    <w:qFormat/>
    <w:uiPriority w:val="0"/>
    <w:pPr>
      <w:ind w:firstLine="420"/>
    </w:pPr>
  </w:style>
  <w:style w:type="character" w:styleId="18">
    <w:name w:val="page number"/>
    <w:basedOn w:val="17"/>
    <w:unhideWhenUsed/>
    <w:qFormat/>
    <w:uiPriority w:val="99"/>
  </w:style>
  <w:style w:type="character" w:customStyle="1" w:styleId="19">
    <w:name w:val="标题 1 Char"/>
    <w:basedOn w:val="17"/>
    <w:link w:val="2"/>
    <w:qFormat/>
    <w:uiPriority w:val="0"/>
    <w:rPr>
      <w:rFonts w:ascii="Times New Roman" w:hAnsi="Times New Roman" w:eastAsia="宋体"/>
      <w:b/>
      <w:kern w:val="44"/>
      <w:sz w:val="36"/>
    </w:rPr>
  </w:style>
  <w:style w:type="character" w:customStyle="1" w:styleId="20">
    <w:name w:val="标题 2 Char"/>
    <w:link w:val="3"/>
    <w:qFormat/>
    <w:locked/>
    <w:uiPriority w:val="0"/>
    <w:rPr>
      <w:rFonts w:ascii="Cambria" w:hAnsi="Cambria" w:eastAsia="宋体"/>
      <w:b/>
      <w:bCs/>
      <w:sz w:val="30"/>
      <w:szCs w:val="32"/>
    </w:rPr>
  </w:style>
  <w:style w:type="paragraph" w:customStyle="1" w:styleId="21">
    <w:name w:val="正文1"/>
    <w:basedOn w:val="10"/>
    <w:qFormat/>
    <w:uiPriority w:val="0"/>
    <w:pPr>
      <w:adjustRightInd w:val="0"/>
      <w:spacing w:line="480" w:lineRule="atLeast"/>
      <w:textAlignment w:val="baseline"/>
    </w:pPr>
    <w:rPr>
      <w:rFonts w:ascii="宋体"/>
      <w:kern w:val="0"/>
      <w:sz w:val="28"/>
      <w:szCs w:val="20"/>
    </w:rPr>
  </w:style>
  <w:style w:type="paragraph" w:customStyle="1" w:styleId="22">
    <w:name w:val="Default"/>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23">
    <w:name w:val="List Paragraph1"/>
    <w:basedOn w:val="1"/>
    <w:qFormat/>
    <w:uiPriority w:val="34"/>
    <w:pPr>
      <w:widowControl/>
      <w:kinsoku w:val="0"/>
      <w:autoSpaceDE w:val="0"/>
      <w:autoSpaceDN w:val="0"/>
      <w:adjustRightInd w:val="0"/>
      <w:snapToGrid w:val="0"/>
      <w:ind w:firstLine="420" w:firstLineChars="200"/>
      <w:jc w:val="left"/>
      <w:textAlignment w:val="baseline"/>
    </w:pPr>
    <w:rPr>
      <w:rFonts w:ascii="Calibri" w:hAnsi="Calibri" w:eastAsia="Arial" w:cs="Arial"/>
      <w:snapToGrid w:val="0"/>
      <w:color w:val="000000"/>
      <w:kern w:val="0"/>
      <w:szCs w:val="22"/>
    </w:rPr>
  </w:style>
  <w:style w:type="character" w:customStyle="1" w:styleId="24">
    <w:name w:val="fontstyle01"/>
    <w:basedOn w:val="17"/>
    <w:qFormat/>
    <w:uiPriority w:val="0"/>
    <w:rPr>
      <w:rFonts w:hint="eastAsia" w:ascii="宋体" w:hAnsi="宋体" w:eastAsia="宋体"/>
      <w:color w:val="000000"/>
      <w:sz w:val="22"/>
      <w:szCs w:val="22"/>
    </w:rPr>
  </w:style>
  <w:style w:type="character" w:customStyle="1" w:styleId="25">
    <w:name w:val="正文文本 2 Char"/>
    <w:link w:val="12"/>
    <w:qFormat/>
    <w:locked/>
    <w:uiPriority w:val="99"/>
    <w:rPr>
      <w:kern w:val="0"/>
      <w:sz w:val="20"/>
      <w:szCs w:val="20"/>
    </w:rPr>
  </w:style>
  <w:style w:type="table" w:customStyle="1" w:styleId="26">
    <w:name w:val="Table Normal"/>
    <w:semiHidden/>
    <w:unhideWhenUsed/>
    <w:qFormat/>
    <w:uiPriority w:val="0"/>
    <w:tblPr>
      <w:tblCellMar>
        <w:top w:w="0" w:type="dxa"/>
        <w:left w:w="0" w:type="dxa"/>
        <w:bottom w:w="0" w:type="dxa"/>
        <w:right w:w="0" w:type="dxa"/>
      </w:tblCellMar>
    </w:tblPr>
  </w:style>
  <w:style w:type="paragraph" w:customStyle="1" w:styleId="27">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50</Pages>
  <Words>404</Words>
  <Characters>438</Characters>
  <Lines>0</Lines>
  <Paragraphs>0</Paragraphs>
  <TotalTime>9</TotalTime>
  <ScaleCrop>false</ScaleCrop>
  <LinksUpToDate>false</LinksUpToDate>
  <CharactersWithSpaces>475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2025-12-31T01:10:00Z</dcterms:created>
  <dc:creator>Administrator</dc:creator>
  <cp:lastModifiedBy>李雨佳_hx</cp:lastModifiedBy>
  <cp:lastPrinted>2026-06-02T02:05:00Z</cp:lastPrinted>
  <dcterms:modified xsi:type="dcterms:W3CDTF">2026-06-03T10:18:09Z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eyJoZGlkIjoiOWNlOTc1MTE2MGQ0NDMzYjk0YjBhOTBkYTEyNjQwOGEiLCJ1c2VySWQiOiI0NTUwOTQ1NDMifQ==</vt:lpwstr>
  </property>
  <property fmtid="{D5CDD505-2E9C-101B-9397-08002B2CF9AE}" pid="4" name="ICV">
    <vt:lpwstr>594407D1492847919AAE314F16C55E14_13</vt:lpwstr>
  </property>
</Properties>
</file>