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现代服务产业园项目腾科路强电管道建设-劳务作业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JXZY2026CT-G024</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5</w:t>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6</w:t>
          </w:r>
        </w:p>
        <w:p w14:paraId="34E0EA09">
          <w:pPr>
            <w:pStyle w:val="19"/>
            <w:tabs>
              <w:tab w:val="right" w:leader="dot" w:pos="8820"/>
              <w:tab w:val="clear" w:pos="720"/>
              <w:tab w:val="clear" w:pos="9072"/>
            </w:tabs>
            <w:spacing w:line="48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7</w:t>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现代服务产业园项目腾科路强电管道建设-劳务作业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JXZY2026CT-G024</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490"/>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02"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90"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02"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JXZY2026CT-G024</w:t>
            </w:r>
          </w:p>
        </w:tc>
        <w:tc>
          <w:tcPr>
            <w:tcW w:w="2490"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现代服务产业园项目腾科路强电管道建设-劳务作业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567255.31</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1ADDD9E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AD4CC2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599887D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5918C8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0F074316">
      <w:pPr>
        <w:pStyle w:val="8"/>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1CA84D8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3C68936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169BE6E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1F96E3E1">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9.施工劳务企业备案；</w:t>
      </w:r>
    </w:p>
    <w:p w14:paraId="437DEAB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10.企业有效的安全生产许可证；</w:t>
      </w:r>
    </w:p>
    <w:p w14:paraId="64CFBA42">
      <w:pPr>
        <w:pStyle w:val="8"/>
        <w:rPr>
          <w:rFonts w:hint="eastAsia"/>
          <w:lang w:val="en-US" w:eastAsia="zh-CN"/>
        </w:rPr>
      </w:pPr>
      <w:r>
        <w:rPr>
          <w:rFonts w:hint="eastAsia" w:ascii="宋体" w:hAnsi="宋体" w:cs="宋体"/>
          <w:color w:val="auto"/>
          <w:sz w:val="24"/>
          <w:szCs w:val="24"/>
          <w:highlight w:val="none"/>
          <w:lang w:val="en-US" w:eastAsia="zh-CN"/>
        </w:rPr>
        <w:t>11.项目负责人：拟派项目负责人身份证；</w:t>
      </w:r>
    </w:p>
    <w:p w14:paraId="2356C09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12.关键岗位人员：拟派有效的专职安全生产管理人员C证的岗位证书；</w:t>
      </w:r>
    </w:p>
    <w:p w14:paraId="39375BF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13.外埠来赣单位应在江西省“住建云信息登记系统”上办理好有效的企业信息登记；</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9</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 10：00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272A89D1">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江西中禹项目管理有限公司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13935"/>
      <w:bookmarkStart w:id="3" w:name="_Toc5969"/>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现代服务产业园项目腾科路强电管道建设-劳务作业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JXZY2026CT-G024</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陆仟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JXZY2026CT-G024</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人民币贰仟柒佰伍拾伍元（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2755元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4" w:name="_GoBack"/>
      <w:bookmarkEnd w:id="64"/>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1761"/>
      <w:bookmarkStart w:id="6" w:name="_Toc17175"/>
      <w:bookmarkStart w:id="7" w:name="_Toc147282124"/>
      <w:bookmarkStart w:id="8" w:name="_Toc324678925"/>
      <w:bookmarkStart w:id="9" w:name="_Toc377982317"/>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江西中禹项目管理有限公司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567255.31</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15373"/>
      <w:bookmarkStart w:id="38" w:name="_Toc29209"/>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09636637">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lang w:val="en-US" w:eastAsia="zh-CN"/>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1942537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8、工程款支付：每月已完工程量经验收合格，双方确认已完合格工程量对应工程量价款的80%，支付进度款；工程完工办理验收后，支付至验收合格工程量价款的8</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%；办理竣工验收后，结算审计完成支付至结算价的97%，剩余3%作为质保金，待质量缺陷责任期（24个月）满后且无扣除情形的，一次性支付剩余尾款。</w:t>
      </w:r>
    </w:p>
    <w:p w14:paraId="22AC6996">
      <w:pPr>
        <w:pStyle w:val="2"/>
        <w:rPr>
          <w:rFonts w:hint="eastAsia"/>
          <w:lang w:val="en-US" w:eastAsia="zh-CN"/>
        </w:rPr>
      </w:pP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1D62A8F">
      <w:pPr>
        <w:numPr>
          <w:ilvl w:val="0"/>
          <w:numId w:val="0"/>
        </w:numPr>
        <w:tabs>
          <w:tab w:val="left" w:pos="0"/>
        </w:tabs>
        <w:spacing w:after="240" w:line="240" w:lineRule="auto"/>
        <w:jc w:val="both"/>
        <w:outlineLvl w:val="9"/>
        <w:rPr>
          <w:rFonts w:hint="eastAsia" w:ascii="宋体" w:hAnsi="宋体" w:cs="宋体"/>
          <w:color w:val="auto"/>
          <w:sz w:val="32"/>
          <w:szCs w:val="32"/>
          <w:highlight w:val="none"/>
          <w:lang w:val="en-US" w:eastAsia="zh-CN"/>
        </w:rPr>
      </w:pPr>
      <w:bookmarkStart w:id="41" w:name="_Toc8453"/>
    </w:p>
    <w:p w14:paraId="6455977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30601"/>
      <w:bookmarkStart w:id="44"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24678969"/>
      <w:bookmarkStart w:id="46" w:name="_Toc377982361"/>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403422543"/>
      <w:bookmarkStart w:id="53" w:name="_Toc324678971"/>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342"/>
      <w:bookmarkStart w:id="63"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03CAE162">
      <w:pPr>
        <w:numPr>
          <w:ilvl w:val="0"/>
          <w:numId w:val="8"/>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236795D9">
      <w:pPr>
        <w:pStyle w:val="2"/>
        <w:rPr>
          <w:rFonts w:hint="eastAsia"/>
        </w:rPr>
      </w:pPr>
    </w:p>
    <w:p w14:paraId="6F408CCC">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1A3B9AA8">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19CBE1E7"/>
    <w:multiLevelType w:val="singleLevel"/>
    <w:tmpl w:val="19CBE1E7"/>
    <w:lvl w:ilvl="0" w:tentative="0">
      <w:start w:val="10"/>
      <w:numFmt w:val="decimal"/>
      <w:suff w:val="nothing"/>
      <w:lvlText w:val="%1、"/>
      <w:lvlJc w:val="left"/>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570B55D8"/>
    <w:multiLevelType w:val="singleLevel"/>
    <w:tmpl w:val="570B55D8"/>
    <w:lvl w:ilvl="0" w:tentative="0">
      <w:start w:val="7"/>
      <w:numFmt w:val="chineseCounting"/>
      <w:suff w:val="nothing"/>
      <w:lvlText w:val="%1、"/>
      <w:lvlJc w:val="left"/>
    </w:lvl>
  </w:abstractNum>
  <w:abstractNum w:abstractNumId="6">
    <w:nsid w:val="5A167C99"/>
    <w:multiLevelType w:val="singleLevel"/>
    <w:tmpl w:val="5A167C99"/>
    <w:lvl w:ilvl="0" w:tentative="0">
      <w:start w:val="2"/>
      <w:numFmt w:val="chineseCounting"/>
      <w:suff w:val="nothing"/>
      <w:lvlText w:val="%1、"/>
      <w:lvlJc w:val="left"/>
      <w:rPr>
        <w:rFonts w:hint="eastAsia"/>
      </w:rPr>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755F0"/>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A67B7"/>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3C3FA2"/>
    <w:rsid w:val="015C4CBF"/>
    <w:rsid w:val="01A96C88"/>
    <w:rsid w:val="01C268D7"/>
    <w:rsid w:val="024E7E34"/>
    <w:rsid w:val="026E4641"/>
    <w:rsid w:val="02A87086"/>
    <w:rsid w:val="03311390"/>
    <w:rsid w:val="0344455C"/>
    <w:rsid w:val="0350044F"/>
    <w:rsid w:val="03AB5A37"/>
    <w:rsid w:val="03D15ABC"/>
    <w:rsid w:val="03F87849"/>
    <w:rsid w:val="04854128"/>
    <w:rsid w:val="04C35E11"/>
    <w:rsid w:val="04DC52CD"/>
    <w:rsid w:val="050722F0"/>
    <w:rsid w:val="054138E3"/>
    <w:rsid w:val="056E043F"/>
    <w:rsid w:val="05760640"/>
    <w:rsid w:val="057C5441"/>
    <w:rsid w:val="05812B41"/>
    <w:rsid w:val="05912F53"/>
    <w:rsid w:val="05962755"/>
    <w:rsid w:val="05BB0CE0"/>
    <w:rsid w:val="05CA08A8"/>
    <w:rsid w:val="063F6C84"/>
    <w:rsid w:val="065344DE"/>
    <w:rsid w:val="065D35AE"/>
    <w:rsid w:val="066F1ED1"/>
    <w:rsid w:val="06AC1E40"/>
    <w:rsid w:val="06AD5647"/>
    <w:rsid w:val="06BE6425"/>
    <w:rsid w:val="06BF609C"/>
    <w:rsid w:val="07064F2D"/>
    <w:rsid w:val="071874D5"/>
    <w:rsid w:val="073A633E"/>
    <w:rsid w:val="076C56D4"/>
    <w:rsid w:val="078A2E29"/>
    <w:rsid w:val="079E317F"/>
    <w:rsid w:val="07C817D3"/>
    <w:rsid w:val="07CA07CF"/>
    <w:rsid w:val="07DC63DC"/>
    <w:rsid w:val="081D3768"/>
    <w:rsid w:val="086A3D60"/>
    <w:rsid w:val="087E2F85"/>
    <w:rsid w:val="089E2D0C"/>
    <w:rsid w:val="08D40E04"/>
    <w:rsid w:val="08F14E86"/>
    <w:rsid w:val="08FD2D02"/>
    <w:rsid w:val="092A6F91"/>
    <w:rsid w:val="09391507"/>
    <w:rsid w:val="094840A2"/>
    <w:rsid w:val="09916BE6"/>
    <w:rsid w:val="09F91840"/>
    <w:rsid w:val="09FF67ED"/>
    <w:rsid w:val="0A685934"/>
    <w:rsid w:val="0A8C4462"/>
    <w:rsid w:val="0AA75373"/>
    <w:rsid w:val="0AC57974"/>
    <w:rsid w:val="0AF73FD4"/>
    <w:rsid w:val="0B05031C"/>
    <w:rsid w:val="0B34739F"/>
    <w:rsid w:val="0B560A80"/>
    <w:rsid w:val="0B683537"/>
    <w:rsid w:val="0B8F26BD"/>
    <w:rsid w:val="0BDE4F88"/>
    <w:rsid w:val="0BDE701D"/>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A54DB5"/>
    <w:rsid w:val="17AD5A18"/>
    <w:rsid w:val="17D14880"/>
    <w:rsid w:val="17D46344"/>
    <w:rsid w:val="17E01949"/>
    <w:rsid w:val="17ED150C"/>
    <w:rsid w:val="17FD51E2"/>
    <w:rsid w:val="18013855"/>
    <w:rsid w:val="185719DE"/>
    <w:rsid w:val="18626763"/>
    <w:rsid w:val="186409B4"/>
    <w:rsid w:val="188B2F75"/>
    <w:rsid w:val="188B3FAB"/>
    <w:rsid w:val="188E3A9B"/>
    <w:rsid w:val="1890381F"/>
    <w:rsid w:val="18ED00D4"/>
    <w:rsid w:val="191948E9"/>
    <w:rsid w:val="192835A8"/>
    <w:rsid w:val="19670574"/>
    <w:rsid w:val="1973301A"/>
    <w:rsid w:val="19EA4DD2"/>
    <w:rsid w:val="1A2F5158"/>
    <w:rsid w:val="1A3862ED"/>
    <w:rsid w:val="1A8A6543"/>
    <w:rsid w:val="1A9759C4"/>
    <w:rsid w:val="1AA17AB6"/>
    <w:rsid w:val="1AC67B91"/>
    <w:rsid w:val="1AD50D1A"/>
    <w:rsid w:val="1AFD0A64"/>
    <w:rsid w:val="1AFD5285"/>
    <w:rsid w:val="1BB07651"/>
    <w:rsid w:val="1BCC0565"/>
    <w:rsid w:val="1C2D6F1E"/>
    <w:rsid w:val="1C871028"/>
    <w:rsid w:val="1C971950"/>
    <w:rsid w:val="1D0B4383"/>
    <w:rsid w:val="1D5A13F5"/>
    <w:rsid w:val="1D820805"/>
    <w:rsid w:val="1D9C7CD3"/>
    <w:rsid w:val="1DC64E87"/>
    <w:rsid w:val="1DD90149"/>
    <w:rsid w:val="1E522E75"/>
    <w:rsid w:val="1E602499"/>
    <w:rsid w:val="1E6B3850"/>
    <w:rsid w:val="1EB819AA"/>
    <w:rsid w:val="1ED55F80"/>
    <w:rsid w:val="1EDC1CBA"/>
    <w:rsid w:val="1EF71D1B"/>
    <w:rsid w:val="1F114ADE"/>
    <w:rsid w:val="1F387E86"/>
    <w:rsid w:val="1F44616C"/>
    <w:rsid w:val="1F903F67"/>
    <w:rsid w:val="1FB22586"/>
    <w:rsid w:val="1FC608B8"/>
    <w:rsid w:val="20283175"/>
    <w:rsid w:val="206D3F96"/>
    <w:rsid w:val="20840EFE"/>
    <w:rsid w:val="20875058"/>
    <w:rsid w:val="20AD6ECA"/>
    <w:rsid w:val="20C21CA2"/>
    <w:rsid w:val="20C42D65"/>
    <w:rsid w:val="20D414F4"/>
    <w:rsid w:val="216E7FC6"/>
    <w:rsid w:val="21910630"/>
    <w:rsid w:val="22236F9E"/>
    <w:rsid w:val="2242043F"/>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6C66F6"/>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8C73F8"/>
    <w:rsid w:val="27C60E05"/>
    <w:rsid w:val="27F82CDF"/>
    <w:rsid w:val="281726D9"/>
    <w:rsid w:val="284535C9"/>
    <w:rsid w:val="28667D5D"/>
    <w:rsid w:val="28CE7FF3"/>
    <w:rsid w:val="290E5610"/>
    <w:rsid w:val="29647755"/>
    <w:rsid w:val="2979501E"/>
    <w:rsid w:val="29C133F2"/>
    <w:rsid w:val="29DE589B"/>
    <w:rsid w:val="29F15568"/>
    <w:rsid w:val="2A020CD7"/>
    <w:rsid w:val="2A4047AF"/>
    <w:rsid w:val="2A443FBA"/>
    <w:rsid w:val="2A4508C5"/>
    <w:rsid w:val="2A4C31DA"/>
    <w:rsid w:val="2A917854"/>
    <w:rsid w:val="2A995D5F"/>
    <w:rsid w:val="2AA84549"/>
    <w:rsid w:val="2AD755F7"/>
    <w:rsid w:val="2AE73D3A"/>
    <w:rsid w:val="2AFA40C1"/>
    <w:rsid w:val="2B1B2F6C"/>
    <w:rsid w:val="2B4A64A6"/>
    <w:rsid w:val="2BA07B5C"/>
    <w:rsid w:val="2BD41C66"/>
    <w:rsid w:val="2BD71CD3"/>
    <w:rsid w:val="2C0509E9"/>
    <w:rsid w:val="2C387018"/>
    <w:rsid w:val="2C444745"/>
    <w:rsid w:val="2C9D6CDB"/>
    <w:rsid w:val="2CC71DF2"/>
    <w:rsid w:val="2D1D71A5"/>
    <w:rsid w:val="2D466A9F"/>
    <w:rsid w:val="2D4805D8"/>
    <w:rsid w:val="2D4C1195"/>
    <w:rsid w:val="2D866137"/>
    <w:rsid w:val="2DE23F54"/>
    <w:rsid w:val="2DF16F3B"/>
    <w:rsid w:val="2DFE0923"/>
    <w:rsid w:val="2E044338"/>
    <w:rsid w:val="2E0D090C"/>
    <w:rsid w:val="2E66398B"/>
    <w:rsid w:val="2E7740E9"/>
    <w:rsid w:val="2E777886"/>
    <w:rsid w:val="2ECF2E25"/>
    <w:rsid w:val="2EF452FB"/>
    <w:rsid w:val="2F0B32F8"/>
    <w:rsid w:val="2F1A4FD5"/>
    <w:rsid w:val="2F8831F1"/>
    <w:rsid w:val="2FA874B6"/>
    <w:rsid w:val="30246C0C"/>
    <w:rsid w:val="302503E9"/>
    <w:rsid w:val="303171EB"/>
    <w:rsid w:val="303625F7"/>
    <w:rsid w:val="30406FD1"/>
    <w:rsid w:val="3046259A"/>
    <w:rsid w:val="305B44E3"/>
    <w:rsid w:val="3096519F"/>
    <w:rsid w:val="309704E6"/>
    <w:rsid w:val="30D53BBD"/>
    <w:rsid w:val="31217A55"/>
    <w:rsid w:val="313844C5"/>
    <w:rsid w:val="317F180E"/>
    <w:rsid w:val="31803FF0"/>
    <w:rsid w:val="318319E3"/>
    <w:rsid w:val="31AC254D"/>
    <w:rsid w:val="31C01C06"/>
    <w:rsid w:val="31E92DC9"/>
    <w:rsid w:val="3230262D"/>
    <w:rsid w:val="327219E3"/>
    <w:rsid w:val="327E4F11"/>
    <w:rsid w:val="32822998"/>
    <w:rsid w:val="328E4A64"/>
    <w:rsid w:val="32A01E64"/>
    <w:rsid w:val="32AB77DD"/>
    <w:rsid w:val="32C52348"/>
    <w:rsid w:val="32C57D41"/>
    <w:rsid w:val="32D5526B"/>
    <w:rsid w:val="32FA0324"/>
    <w:rsid w:val="33861E21"/>
    <w:rsid w:val="338813BB"/>
    <w:rsid w:val="33C7324E"/>
    <w:rsid w:val="33DE547F"/>
    <w:rsid w:val="33E12D1C"/>
    <w:rsid w:val="33F41078"/>
    <w:rsid w:val="33FE342B"/>
    <w:rsid w:val="340622E0"/>
    <w:rsid w:val="340802CA"/>
    <w:rsid w:val="34086A43"/>
    <w:rsid w:val="34667B96"/>
    <w:rsid w:val="349210B6"/>
    <w:rsid w:val="34BB5077"/>
    <w:rsid w:val="34C122AF"/>
    <w:rsid w:val="34EF1477"/>
    <w:rsid w:val="3500579E"/>
    <w:rsid w:val="35246EC1"/>
    <w:rsid w:val="354E1F39"/>
    <w:rsid w:val="35505208"/>
    <w:rsid w:val="35516255"/>
    <w:rsid w:val="3555351F"/>
    <w:rsid w:val="35F26FC0"/>
    <w:rsid w:val="35F40F8A"/>
    <w:rsid w:val="35FE75F8"/>
    <w:rsid w:val="363D143A"/>
    <w:rsid w:val="36576592"/>
    <w:rsid w:val="366B643D"/>
    <w:rsid w:val="3684230E"/>
    <w:rsid w:val="36AB3135"/>
    <w:rsid w:val="37407C3D"/>
    <w:rsid w:val="378612C6"/>
    <w:rsid w:val="37931D11"/>
    <w:rsid w:val="37AB47ED"/>
    <w:rsid w:val="37C5058F"/>
    <w:rsid w:val="3810372D"/>
    <w:rsid w:val="382C4A0B"/>
    <w:rsid w:val="3834062E"/>
    <w:rsid w:val="383B1F9E"/>
    <w:rsid w:val="384A30E3"/>
    <w:rsid w:val="38D93765"/>
    <w:rsid w:val="38D96215"/>
    <w:rsid w:val="392A3529"/>
    <w:rsid w:val="39856509"/>
    <w:rsid w:val="39875B05"/>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98044D"/>
    <w:rsid w:val="3DB15F42"/>
    <w:rsid w:val="3DDA4089"/>
    <w:rsid w:val="3E151B31"/>
    <w:rsid w:val="3E2F57D6"/>
    <w:rsid w:val="3E324A0A"/>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596145"/>
    <w:rsid w:val="416F2AE8"/>
    <w:rsid w:val="419B675D"/>
    <w:rsid w:val="41B10C5F"/>
    <w:rsid w:val="41C44089"/>
    <w:rsid w:val="41D97952"/>
    <w:rsid w:val="423B508F"/>
    <w:rsid w:val="425744CF"/>
    <w:rsid w:val="42857177"/>
    <w:rsid w:val="42AB0C22"/>
    <w:rsid w:val="42BA638F"/>
    <w:rsid w:val="42CD3530"/>
    <w:rsid w:val="42EF4CF2"/>
    <w:rsid w:val="431449CD"/>
    <w:rsid w:val="43364990"/>
    <w:rsid w:val="43735EF2"/>
    <w:rsid w:val="442849F5"/>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972CB"/>
    <w:rsid w:val="484F02A2"/>
    <w:rsid w:val="48594C7C"/>
    <w:rsid w:val="48694386"/>
    <w:rsid w:val="48917D88"/>
    <w:rsid w:val="48B82CB2"/>
    <w:rsid w:val="48D64D68"/>
    <w:rsid w:val="490B392E"/>
    <w:rsid w:val="49117305"/>
    <w:rsid w:val="49377564"/>
    <w:rsid w:val="495A2EA7"/>
    <w:rsid w:val="49677981"/>
    <w:rsid w:val="49690EEF"/>
    <w:rsid w:val="49696DFB"/>
    <w:rsid w:val="498B5309"/>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D5F14"/>
    <w:rsid w:val="4EDF2B2C"/>
    <w:rsid w:val="4EFC7675"/>
    <w:rsid w:val="4F0771E0"/>
    <w:rsid w:val="4F136DBB"/>
    <w:rsid w:val="4F3F2E1E"/>
    <w:rsid w:val="4F675ED1"/>
    <w:rsid w:val="4F894B2F"/>
    <w:rsid w:val="4F8A5691"/>
    <w:rsid w:val="4FA36738"/>
    <w:rsid w:val="4FAC7673"/>
    <w:rsid w:val="4FB42BA4"/>
    <w:rsid w:val="4FCC5976"/>
    <w:rsid w:val="4FD104D5"/>
    <w:rsid w:val="4FE92D8A"/>
    <w:rsid w:val="50234EE5"/>
    <w:rsid w:val="50327987"/>
    <w:rsid w:val="503D1867"/>
    <w:rsid w:val="50E0518E"/>
    <w:rsid w:val="50EE3D38"/>
    <w:rsid w:val="51101B07"/>
    <w:rsid w:val="51120CF7"/>
    <w:rsid w:val="519A28F0"/>
    <w:rsid w:val="519C6593"/>
    <w:rsid w:val="51AD1A71"/>
    <w:rsid w:val="51C92E73"/>
    <w:rsid w:val="51DF25F2"/>
    <w:rsid w:val="51F15593"/>
    <w:rsid w:val="51F823A1"/>
    <w:rsid w:val="52554335"/>
    <w:rsid w:val="525919E4"/>
    <w:rsid w:val="527D7680"/>
    <w:rsid w:val="52B31610"/>
    <w:rsid w:val="52B9562D"/>
    <w:rsid w:val="52D05C9E"/>
    <w:rsid w:val="52E87329"/>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B23DDB"/>
    <w:rsid w:val="57C971CB"/>
    <w:rsid w:val="57D4652D"/>
    <w:rsid w:val="57E74053"/>
    <w:rsid w:val="58182E97"/>
    <w:rsid w:val="581E3DE2"/>
    <w:rsid w:val="58263B97"/>
    <w:rsid w:val="582901C7"/>
    <w:rsid w:val="58364D6D"/>
    <w:rsid w:val="58475B00"/>
    <w:rsid w:val="58981BE4"/>
    <w:rsid w:val="589F14D0"/>
    <w:rsid w:val="58B4208E"/>
    <w:rsid w:val="58E930DF"/>
    <w:rsid w:val="591C7D2C"/>
    <w:rsid w:val="59254C06"/>
    <w:rsid w:val="5972035B"/>
    <w:rsid w:val="598F49A2"/>
    <w:rsid w:val="59D2663D"/>
    <w:rsid w:val="59FF6B39"/>
    <w:rsid w:val="5A03573C"/>
    <w:rsid w:val="5A660D4E"/>
    <w:rsid w:val="5A817B0D"/>
    <w:rsid w:val="5A8262B5"/>
    <w:rsid w:val="5AA24261"/>
    <w:rsid w:val="5AAB323C"/>
    <w:rsid w:val="5B005214"/>
    <w:rsid w:val="5B3809A4"/>
    <w:rsid w:val="5B4B2B4A"/>
    <w:rsid w:val="5B661D3E"/>
    <w:rsid w:val="5C084ED5"/>
    <w:rsid w:val="5C150452"/>
    <w:rsid w:val="5C1949F7"/>
    <w:rsid w:val="5C24022B"/>
    <w:rsid w:val="5C963A8A"/>
    <w:rsid w:val="5CBD4422"/>
    <w:rsid w:val="5CE60BF5"/>
    <w:rsid w:val="5CEC1BA3"/>
    <w:rsid w:val="5CFA64BB"/>
    <w:rsid w:val="5D0D60EB"/>
    <w:rsid w:val="5D4A3EFC"/>
    <w:rsid w:val="5D4A502D"/>
    <w:rsid w:val="5D4E769C"/>
    <w:rsid w:val="5DD54E8B"/>
    <w:rsid w:val="5DEB2B8A"/>
    <w:rsid w:val="5DF9473C"/>
    <w:rsid w:val="5E0043EB"/>
    <w:rsid w:val="5E6463FD"/>
    <w:rsid w:val="5E6801F6"/>
    <w:rsid w:val="5E8D55E7"/>
    <w:rsid w:val="5EC40C4A"/>
    <w:rsid w:val="5EE04DFC"/>
    <w:rsid w:val="5EFC35C0"/>
    <w:rsid w:val="5F25283E"/>
    <w:rsid w:val="5F443548"/>
    <w:rsid w:val="5F4A2384"/>
    <w:rsid w:val="5FA32F55"/>
    <w:rsid w:val="5FD537AD"/>
    <w:rsid w:val="5FE82E15"/>
    <w:rsid w:val="60197873"/>
    <w:rsid w:val="602142B3"/>
    <w:rsid w:val="603658A5"/>
    <w:rsid w:val="607B3293"/>
    <w:rsid w:val="608C47AD"/>
    <w:rsid w:val="60D55DC9"/>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DF1660"/>
    <w:rsid w:val="64E20C7C"/>
    <w:rsid w:val="650249D7"/>
    <w:rsid w:val="65190998"/>
    <w:rsid w:val="654815BA"/>
    <w:rsid w:val="655346F0"/>
    <w:rsid w:val="6554084E"/>
    <w:rsid w:val="655F4A2A"/>
    <w:rsid w:val="6581707A"/>
    <w:rsid w:val="65D81772"/>
    <w:rsid w:val="66150F73"/>
    <w:rsid w:val="66173D55"/>
    <w:rsid w:val="661E4002"/>
    <w:rsid w:val="663B3B08"/>
    <w:rsid w:val="664A412A"/>
    <w:rsid w:val="66692CE9"/>
    <w:rsid w:val="66B477F6"/>
    <w:rsid w:val="66C231EB"/>
    <w:rsid w:val="66D962DF"/>
    <w:rsid w:val="672410C5"/>
    <w:rsid w:val="673B1C5F"/>
    <w:rsid w:val="67993DA7"/>
    <w:rsid w:val="67A05FCC"/>
    <w:rsid w:val="67B53825"/>
    <w:rsid w:val="67BE4817"/>
    <w:rsid w:val="67D45B16"/>
    <w:rsid w:val="68792AA5"/>
    <w:rsid w:val="68DF7CB3"/>
    <w:rsid w:val="68E343C2"/>
    <w:rsid w:val="68E36170"/>
    <w:rsid w:val="69077DF7"/>
    <w:rsid w:val="690A7BA1"/>
    <w:rsid w:val="691E158F"/>
    <w:rsid w:val="692C5600"/>
    <w:rsid w:val="698C1F88"/>
    <w:rsid w:val="699E1BC4"/>
    <w:rsid w:val="69A578CA"/>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BDF5F14"/>
    <w:rsid w:val="6C0F3245"/>
    <w:rsid w:val="6C3E6C02"/>
    <w:rsid w:val="6C5221D1"/>
    <w:rsid w:val="6C601B62"/>
    <w:rsid w:val="6C92548F"/>
    <w:rsid w:val="6C955D99"/>
    <w:rsid w:val="6CAE1BE4"/>
    <w:rsid w:val="6CDB3535"/>
    <w:rsid w:val="6CFC3CA5"/>
    <w:rsid w:val="6D0B038C"/>
    <w:rsid w:val="6D30236E"/>
    <w:rsid w:val="6D535020"/>
    <w:rsid w:val="6D8048D6"/>
    <w:rsid w:val="6D976CB9"/>
    <w:rsid w:val="6DA64519"/>
    <w:rsid w:val="6DB72303"/>
    <w:rsid w:val="6DCA78FF"/>
    <w:rsid w:val="6E0E1EE1"/>
    <w:rsid w:val="6E241040"/>
    <w:rsid w:val="6E7A0843"/>
    <w:rsid w:val="6E932525"/>
    <w:rsid w:val="6EC4352D"/>
    <w:rsid w:val="6EE52005"/>
    <w:rsid w:val="6F266D36"/>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CA0970"/>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7D1438"/>
    <w:rsid w:val="79A24A66"/>
    <w:rsid w:val="7A005697"/>
    <w:rsid w:val="7A1F14FA"/>
    <w:rsid w:val="7A4D5B40"/>
    <w:rsid w:val="7A684F59"/>
    <w:rsid w:val="7A7418D6"/>
    <w:rsid w:val="7A814CA3"/>
    <w:rsid w:val="7A871A03"/>
    <w:rsid w:val="7AA3086F"/>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6F592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11044</Words>
  <Characters>11934</Characters>
  <Lines>190</Lines>
  <Paragraphs>53</Paragraphs>
  <TotalTime>0</TotalTime>
  <ScaleCrop>false</ScaleCrop>
  <LinksUpToDate>false</LinksUpToDate>
  <CharactersWithSpaces>13526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2026-03-27T02:22:00Z</cp:lastPrinted>
  <dcterms:modified xsi:type="dcterms:W3CDTF">2026-04-29T01:27:32Z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