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ind w:left="2096" w:leftChars="284" w:hanging="1500" w:hangingChars="5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南昌市红谷滩区乌沙河沿线环境整治工程-种植土运输（二标）</w:t>
      </w:r>
    </w:p>
    <w:p w14:paraId="711C7CF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JXZY2026CT-G018</w:t>
      </w:r>
    </w:p>
    <w:p w14:paraId="2D11779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江西中禹项目管理有限公司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三</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sdt>
      <w:sdtPr>
        <w:rPr>
          <w:rFonts w:ascii="宋体" w:hAnsi="宋体" w:eastAsia="宋体" w:cs="Times New Roman"/>
          <w:b w:val="0"/>
          <w:bCs w:val="0"/>
          <w:kern w:val="2"/>
          <w:sz w:val="36"/>
          <w:szCs w:val="36"/>
          <w:lang w:val="en-US" w:eastAsia="zh-CN" w:bidi="ar-SA"/>
        </w:rPr>
        <w:id w:val="147456876"/>
        <w15:color w:val="DBDBDB"/>
        <w:docPartObj>
          <w:docPartGallery w:val="Table of Contents"/>
          <w:docPartUnique/>
        </w:docPartObj>
      </w:sdtPr>
      <w:sdtEndPr>
        <w:rPr>
          <w:rFonts w:hint="eastAsia" w:ascii="宋体" w:hAnsi="宋体" w:eastAsia="宋体" w:cs="宋体"/>
          <w:b w:val="0"/>
          <w:bCs w:val="0"/>
          <w:color w:val="auto"/>
          <w:kern w:val="0"/>
          <w:sz w:val="28"/>
          <w:szCs w:val="20"/>
          <w:highlight w:val="none"/>
          <w:lang w:val="en-US" w:eastAsia="zh-CN" w:bidi="ar-SA"/>
        </w:rPr>
      </w:sdtEndPr>
      <w:sdtContent>
        <w:p w14:paraId="5888BEA7">
          <w:pPr>
            <w:spacing w:before="0" w:beforeLines="0" w:after="0" w:afterLines="0" w:line="240" w:lineRule="auto"/>
            <w:ind w:left="0" w:leftChars="0" w:right="0" w:rightChars="0" w:firstLine="0" w:firstLineChars="0"/>
            <w:jc w:val="center"/>
            <w:rPr>
              <w:b w:val="0"/>
              <w:bCs w:val="0"/>
              <w:sz w:val="36"/>
              <w:szCs w:val="36"/>
            </w:rPr>
          </w:pPr>
          <w:r>
            <w:rPr>
              <w:rFonts w:ascii="宋体" w:hAnsi="宋体" w:eastAsia="宋体"/>
              <w:b w:val="0"/>
              <w:bCs w:val="0"/>
              <w:sz w:val="36"/>
              <w:szCs w:val="36"/>
            </w:rPr>
            <w:t>目录</w:t>
          </w:r>
        </w:p>
        <w:p w14:paraId="6489B53B">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_Toc23620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第一章 </w:t>
          </w:r>
          <w:r>
            <w:rPr>
              <w:rFonts w:hint="eastAsia" w:ascii="宋体" w:hAnsi="宋体" w:eastAsia="宋体" w:cs="宋体"/>
              <w:b w:val="0"/>
              <w:bCs w:val="0"/>
              <w:sz w:val="28"/>
              <w:szCs w:val="28"/>
              <w:highlight w:val="none"/>
            </w:rPr>
            <w:t>比选公告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_Toc23620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AF5938E">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_Toc13935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第二章 </w:t>
          </w:r>
          <w:r>
            <w:rPr>
              <w:rFonts w:hint="eastAsia" w:ascii="宋体" w:hAnsi="宋体" w:eastAsia="宋体" w:cs="宋体"/>
              <w:b w:val="0"/>
              <w:bCs w:val="0"/>
              <w:sz w:val="28"/>
              <w:szCs w:val="28"/>
              <w:highlight w:val="none"/>
            </w:rPr>
            <w:t>参选人须知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_Toc13935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66EEF71">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_Toc29209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_Toc29209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1FFF8C98">
          <w:pPr>
            <w:pStyle w:val="19"/>
            <w:tabs>
              <w:tab w:val="right" w:leader="dot" w:pos="8820"/>
              <w:tab w:val="clear" w:pos="720"/>
              <w:tab w:val="clear" w:pos="9072"/>
            </w:tabs>
            <w:spacing w:line="48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_Toc10894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第四章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项目需求</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4</w:t>
          </w:r>
        </w:p>
        <w:p w14:paraId="5E67FA77">
          <w:pPr>
            <w:pStyle w:val="19"/>
            <w:tabs>
              <w:tab w:val="right" w:leader="dot" w:pos="8820"/>
              <w:tab w:val="clear" w:pos="720"/>
              <w:tab w:val="clear" w:pos="9072"/>
            </w:tabs>
            <w:spacing w:line="48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_Toc8453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 xml:space="preserve">第五章 </w:t>
          </w:r>
          <w:r>
            <w:rPr>
              <w:rFonts w:hint="eastAsia" w:ascii="宋体" w:hAnsi="宋体" w:eastAsia="宋体" w:cs="宋体"/>
              <w:b w:val="0"/>
              <w:bCs w:val="0"/>
              <w:sz w:val="28"/>
              <w:szCs w:val="28"/>
              <w:highlight w:val="none"/>
            </w:rPr>
            <w:t>合同条款及格式</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6</w:t>
          </w:r>
        </w:p>
        <w:p w14:paraId="34E0EA09">
          <w:pPr>
            <w:pStyle w:val="19"/>
            <w:tabs>
              <w:tab w:val="right" w:leader="dot" w:pos="8820"/>
              <w:tab w:val="clear" w:pos="720"/>
              <w:tab w:val="clear" w:pos="9072"/>
            </w:tabs>
            <w:spacing w:line="48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_Toc30601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第二部分 </w:t>
          </w:r>
          <w:r>
            <w:rPr>
              <w:rFonts w:hint="eastAsia" w:ascii="宋体" w:hAnsi="宋体" w:eastAsia="宋体" w:cs="宋体"/>
              <w:b w:val="0"/>
              <w:bCs w:val="0"/>
              <w:sz w:val="28"/>
              <w:szCs w:val="28"/>
              <w:highlight w:val="none"/>
              <w:lang w:eastAsia="zh-CN"/>
            </w:rPr>
            <w:t>参选</w:t>
          </w:r>
          <w:r>
            <w:rPr>
              <w:rFonts w:hint="eastAsia" w:ascii="宋体" w:hAnsi="宋体" w:eastAsia="宋体" w:cs="宋体"/>
              <w:b w:val="0"/>
              <w:bCs w:val="0"/>
              <w:sz w:val="28"/>
              <w:szCs w:val="28"/>
              <w:highlight w:val="none"/>
            </w:rPr>
            <w:t>文件格式</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7</w:t>
          </w:r>
        </w:p>
        <w:p w14:paraId="3149D5E6">
          <w:pPr>
            <w:pStyle w:val="46"/>
            <w:pageBreakBefore w:val="0"/>
            <w:kinsoku/>
            <w:overflowPunct/>
            <w:topLinePunct w:val="0"/>
            <w:bidi w:val="0"/>
            <w:spacing w:line="480" w:lineRule="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b w:val="0"/>
              <w:bCs w:val="0"/>
              <w:color w:val="auto"/>
              <w:sz w:val="28"/>
              <w:szCs w:val="28"/>
              <w:highlight w:val="none"/>
            </w:rPr>
            <w:fldChar w:fldCharType="end"/>
          </w:r>
        </w:p>
      </w:sdtContent>
    </w:sdt>
    <w:p w14:paraId="4AB12C98">
      <w:pPr>
        <w:pStyle w:val="46"/>
        <w:pageBreakBefore w:val="0"/>
        <w:kinsoku/>
        <w:overflowPunct/>
        <w:topLinePunct w:val="0"/>
        <w:bidi w:val="0"/>
        <w:rPr>
          <w:rFonts w:hint="eastAsia" w:ascii="宋体" w:hAnsi="宋体" w:eastAsia="宋体" w:cs="宋体"/>
          <w:color w:val="auto"/>
          <w:kern w:val="0"/>
          <w:sz w:val="28"/>
          <w:szCs w:val="20"/>
          <w:highlight w:val="none"/>
          <w:lang w:val="en-US" w:eastAsia="zh-CN" w:bidi="ar-SA"/>
        </w:rPr>
      </w:pPr>
    </w:p>
    <w:p w14:paraId="6DA3C67A">
      <w:pPr>
        <w:pStyle w:val="46"/>
        <w:pageBreakBefore w:val="0"/>
        <w:kinsoku/>
        <w:overflowPunct/>
        <w:topLinePunct w:val="0"/>
        <w:bidi w:val="0"/>
        <w:rPr>
          <w:rFonts w:hint="eastAsia" w:ascii="宋体" w:hAnsi="宋体" w:eastAsia="宋体" w:cs="宋体"/>
          <w:color w:val="auto"/>
          <w:szCs w:val="28"/>
          <w:highlight w:val="none"/>
        </w:rPr>
      </w:pP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54604FB0">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bookmarkStart w:id="1" w:name="_Toc23620"/>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bookmarkEnd w:id="1"/>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江西中禹项目管理有限公司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南昌市红谷滩区乌沙河沿线环境整治工程-种植土运输（二标）</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JXZY2026CT-G018</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2490"/>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02"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490"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102"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JXZY2026CT-G018</w:t>
            </w:r>
          </w:p>
        </w:tc>
        <w:tc>
          <w:tcPr>
            <w:tcW w:w="2490"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南昌市红谷滩区乌沙河沿线环境整治工程-种植土运输（二标）</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662193</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1ADDD9E4">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1.具有独立承担民事责任的能力；</w:t>
      </w:r>
    </w:p>
    <w:p w14:paraId="4AD4CC27">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2.具有良好的商业信誉和健全的财务会计制度；</w:t>
      </w:r>
    </w:p>
    <w:p w14:paraId="599887DB">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3.具有履行合同所必需的设备和专业技术能力；</w:t>
      </w:r>
    </w:p>
    <w:p w14:paraId="25918C83">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4.有依法缴纳税收和社会保障资金的良好记录；</w:t>
      </w:r>
    </w:p>
    <w:p w14:paraId="0F074316">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5.参加招标投标活动前三年内，在经营活动中没有重大违法记录；</w:t>
      </w:r>
    </w:p>
    <w:p w14:paraId="1CA84D87">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2990AAE6">
      <w:pPr>
        <w:pStyle w:val="2"/>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7.具有有效的《中华人民共和国道路运输经营许可证》；</w:t>
      </w:r>
    </w:p>
    <w:p w14:paraId="3C689366">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8.授权委托书及本人身份证（如法人到场提供身份证及法定代表人身份证明书）；</w:t>
      </w:r>
    </w:p>
    <w:p w14:paraId="169BE6EA">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9.参选保证金缴纳情况（该项网上查询打印纸质材料加盖公章可作原件使用）；</w:t>
      </w:r>
    </w:p>
    <w:p w14:paraId="0702BE08">
      <w:pPr>
        <w:pStyle w:val="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10.本项目不接受联合体参选。</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15：30</w:t>
      </w:r>
      <w:bookmarkStart w:id="64" w:name="_GoBack"/>
      <w:bookmarkEnd w:id="64"/>
      <w:r>
        <w:rPr>
          <w:rFonts w:hint="eastAsia" w:ascii="宋体" w:hAnsi="宋体" w:eastAsia="宋体" w:cs="宋体"/>
          <w:color w:val="auto"/>
          <w:kern w:val="0"/>
          <w:sz w:val="24"/>
          <w:highlight w:val="none"/>
        </w:rPr>
        <w:t>（北京时间）。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272A89D1">
      <w:pPr>
        <w:pageBreakBefore w:val="0"/>
        <w:kinsoku/>
        <w:overflowPunct/>
        <w:topLinePunct w:val="0"/>
        <w:bidi w:val="0"/>
        <w:snapToGrid w:val="0"/>
        <w:spacing w:line="400" w:lineRule="exact"/>
        <w:rPr>
          <w:rFonts w:hint="eastAsia" w:ascii="宋体" w:hAnsi="宋体" w:eastAsia="宋体" w:cs="宋体"/>
          <w:color w:val="auto"/>
          <w:sz w:val="24"/>
          <w:highlight w:val="none"/>
        </w:rPr>
      </w:pP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江西中禹项目管理有限公司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南昌市红谷滩区地中海阳光D单元406</w:t>
      </w:r>
    </w:p>
    <w:p w14:paraId="02E2F8E7">
      <w:pPr>
        <w:pageBreakBefore w:val="0"/>
        <w:kinsoku/>
        <w:overflowPunct/>
        <w:topLinePunct w:val="0"/>
        <w:bidi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13036216210</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1159800342@qq.com</w:t>
      </w:r>
    </w:p>
    <w:p w14:paraId="732980F5">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2" w:name="_Toc13935"/>
      <w:bookmarkStart w:id="3" w:name="_Toc5969"/>
      <w:r>
        <w:rPr>
          <w:rFonts w:hint="eastAsia" w:ascii="宋体" w:hAnsi="宋体" w:eastAsia="宋体" w:cs="宋体"/>
          <w:color w:val="auto"/>
          <w:sz w:val="30"/>
          <w:szCs w:val="30"/>
          <w:highlight w:val="none"/>
        </w:rPr>
        <w:t>参选人须知</w:t>
      </w:r>
      <w:bookmarkEnd w:id="2"/>
      <w:bookmarkEnd w:id="3"/>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南昌市红谷滩区乌沙河沿线环境整治工程-种植土运输（二标）</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JXZY2026CT-G018</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江西中禹项目管理有限公司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南昌市红谷滩区地中海阳光D单元406</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13036216210</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4"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4"/>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陆仟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江西中禹项目管理有限公司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7919 0957 8710 601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招商银行股份有限公司南昌江铃支行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JXZY2026CT-G018</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1159800342@qq.com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人民币肆仟零伍拾陆元（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4056元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5" w:name="_Toc147282124"/>
      <w:bookmarkStart w:id="6" w:name="_Toc324678925"/>
      <w:bookmarkStart w:id="7" w:name="_Toc17175"/>
      <w:bookmarkStart w:id="8" w:name="_Toc31761"/>
      <w:bookmarkStart w:id="9" w:name="_Toc377982317"/>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江西中禹项目管理有限公司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10" w:name="_Toc202172745"/>
      <w:r>
        <w:rPr>
          <w:rFonts w:hint="eastAsia" w:ascii="宋体" w:hAnsi="宋体" w:eastAsia="宋体" w:cs="宋体"/>
          <w:b/>
          <w:bCs/>
          <w:color w:val="auto"/>
          <w:sz w:val="24"/>
          <w:highlight w:val="none"/>
        </w:rPr>
        <w:t>3.</w:t>
      </w:r>
      <w:bookmarkEnd w:id="10"/>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6"/>
      <w:r>
        <w:rPr>
          <w:rFonts w:hint="eastAsia" w:ascii="宋体" w:hAnsi="宋体" w:eastAsia="宋体" w:cs="宋体"/>
          <w:b/>
          <w:bCs/>
          <w:color w:val="auto"/>
          <w:sz w:val="24"/>
          <w:highlight w:val="none"/>
        </w:rPr>
        <w:t>5. 参选费用</w:t>
      </w:r>
      <w:bookmarkEnd w:id="11"/>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7"/>
      <w:r>
        <w:rPr>
          <w:rFonts w:hint="eastAsia" w:ascii="宋体" w:hAnsi="宋体" w:eastAsia="宋体" w:cs="宋体"/>
          <w:b/>
          <w:bCs/>
          <w:color w:val="auto"/>
          <w:sz w:val="24"/>
          <w:highlight w:val="none"/>
        </w:rPr>
        <w:t>6. 参选人代表</w:t>
      </w:r>
      <w:bookmarkEnd w:id="12"/>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3"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3"/>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49"/>
      <w:r>
        <w:rPr>
          <w:rFonts w:hint="eastAsia" w:ascii="宋体" w:hAnsi="宋体" w:eastAsia="宋体" w:cs="宋体"/>
          <w:b/>
          <w:bCs/>
          <w:color w:val="auto"/>
          <w:sz w:val="24"/>
          <w:highlight w:val="none"/>
        </w:rPr>
        <w:t>7. 比选文件构成</w:t>
      </w:r>
      <w:bookmarkEnd w:id="14"/>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0"/>
      <w:r>
        <w:rPr>
          <w:rFonts w:hint="eastAsia" w:ascii="宋体" w:hAnsi="宋体" w:eastAsia="宋体" w:cs="宋体"/>
          <w:b/>
          <w:bCs/>
          <w:color w:val="auto"/>
          <w:sz w:val="24"/>
          <w:highlight w:val="none"/>
        </w:rPr>
        <w:t>8. 比选文件的</w:t>
      </w:r>
      <w:bookmarkEnd w:id="15"/>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1"/>
      <w:r>
        <w:rPr>
          <w:rFonts w:hint="eastAsia" w:ascii="宋体" w:hAnsi="宋体" w:eastAsia="宋体" w:cs="宋体"/>
          <w:b/>
          <w:bCs/>
          <w:color w:val="auto"/>
          <w:sz w:val="24"/>
          <w:highlight w:val="none"/>
        </w:rPr>
        <w:t>9. 比选文件的修改</w:t>
      </w:r>
      <w:bookmarkEnd w:id="16"/>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7" w:name="_Toc202172752"/>
      <w:r>
        <w:rPr>
          <w:rFonts w:hint="eastAsia" w:ascii="宋体" w:hAnsi="宋体" w:eastAsia="宋体" w:cs="宋体"/>
          <w:b/>
          <w:bCs/>
          <w:color w:val="auto"/>
          <w:sz w:val="24"/>
          <w:highlight w:val="none"/>
        </w:rPr>
        <w:t>三、 参选文件的编制</w:t>
      </w:r>
      <w:bookmarkEnd w:id="17"/>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8" w:name="_Toc202172753"/>
      <w:r>
        <w:rPr>
          <w:rFonts w:hint="eastAsia" w:ascii="宋体" w:hAnsi="宋体" w:eastAsia="宋体" w:cs="宋体"/>
          <w:b/>
          <w:bCs/>
          <w:color w:val="auto"/>
          <w:sz w:val="24"/>
          <w:highlight w:val="none"/>
        </w:rPr>
        <w:t>10. 提示</w:t>
      </w:r>
      <w:bookmarkEnd w:id="18"/>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9" w:name="_Toc202172754"/>
      <w:r>
        <w:rPr>
          <w:rFonts w:hint="eastAsia" w:ascii="宋体" w:hAnsi="宋体" w:eastAsia="宋体" w:cs="宋体"/>
          <w:b/>
          <w:bCs/>
          <w:color w:val="auto"/>
          <w:sz w:val="24"/>
          <w:highlight w:val="none"/>
        </w:rPr>
        <w:t>11. 参选文件计量单位</w:t>
      </w:r>
      <w:bookmarkEnd w:id="19"/>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20" w:name="_Toc202172755"/>
      <w:r>
        <w:rPr>
          <w:rFonts w:hint="eastAsia" w:ascii="宋体" w:hAnsi="宋体" w:eastAsia="宋体" w:cs="宋体"/>
          <w:b/>
          <w:bCs/>
          <w:color w:val="auto"/>
          <w:sz w:val="24"/>
          <w:highlight w:val="none"/>
        </w:rPr>
        <w:t>12. 参选文件的构成</w:t>
      </w:r>
      <w:bookmarkEnd w:id="20"/>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21"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21"/>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2" w:name="_Toc202172757"/>
      <w:r>
        <w:rPr>
          <w:rFonts w:hint="eastAsia" w:ascii="宋体" w:hAnsi="宋体" w:eastAsia="宋体" w:cs="宋体"/>
          <w:b/>
          <w:bCs/>
          <w:color w:val="auto"/>
          <w:sz w:val="24"/>
          <w:highlight w:val="none"/>
        </w:rPr>
        <w:t>14. 证明工程、货物、服务符合比选文件规定的文件</w:t>
      </w:r>
      <w:bookmarkEnd w:id="22"/>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58"/>
      <w:r>
        <w:rPr>
          <w:rFonts w:hint="eastAsia" w:ascii="宋体" w:hAnsi="宋体" w:eastAsia="宋体" w:cs="宋体"/>
          <w:b/>
          <w:bCs/>
          <w:color w:val="auto"/>
          <w:sz w:val="24"/>
          <w:highlight w:val="none"/>
        </w:rPr>
        <w:t>15. 参选报价</w:t>
      </w:r>
      <w:bookmarkEnd w:id="23"/>
      <w:bookmarkStart w:id="24"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662193</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，参选人参选报价不得超过招标控制价中的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总价，否则按无效响应处理</w:t>
      </w:r>
      <w:r>
        <w:rPr>
          <w:rFonts w:hint="eastAsia" w:ascii="宋体" w:hAnsi="宋体" w:eastAsia="宋体" w:cs="宋体"/>
          <w:bCs/>
          <w:color w:val="auto"/>
          <w:kern w:val="2"/>
          <w:sz w:val="24"/>
          <w:szCs w:val="24"/>
          <w:highlight w:val="none"/>
        </w:rPr>
        <w:t>。</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4"/>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0"/>
      <w:r>
        <w:rPr>
          <w:rFonts w:hint="eastAsia" w:ascii="宋体" w:hAnsi="宋体" w:eastAsia="宋体" w:cs="宋体"/>
          <w:b/>
          <w:bCs/>
          <w:color w:val="auto"/>
          <w:sz w:val="24"/>
          <w:highlight w:val="none"/>
        </w:rPr>
        <w:t>16. 参选有效期</w:t>
      </w:r>
      <w:bookmarkEnd w:id="25"/>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6" w:name="_Toc202172761"/>
      <w:r>
        <w:rPr>
          <w:rFonts w:hint="eastAsia" w:ascii="宋体" w:hAnsi="宋体" w:eastAsia="宋体" w:cs="宋体"/>
          <w:b/>
          <w:bCs/>
          <w:color w:val="auto"/>
          <w:sz w:val="24"/>
          <w:highlight w:val="none"/>
        </w:rPr>
        <w:t>17.参选文件的签署及规定</w:t>
      </w:r>
      <w:bookmarkEnd w:id="26"/>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7"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7"/>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8" w:name="_Toc202172763"/>
      <w:r>
        <w:rPr>
          <w:rFonts w:hint="eastAsia" w:ascii="宋体" w:hAnsi="宋体" w:eastAsia="宋体" w:cs="宋体"/>
          <w:b/>
          <w:bCs/>
          <w:color w:val="auto"/>
          <w:sz w:val="24"/>
          <w:highlight w:val="none"/>
        </w:rPr>
        <w:t>18. 参选文件的密封及标记</w:t>
      </w:r>
      <w:bookmarkEnd w:id="28"/>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9" w:name="_Toc202172764"/>
      <w:r>
        <w:rPr>
          <w:rFonts w:hint="eastAsia" w:ascii="宋体" w:hAnsi="宋体" w:eastAsia="宋体" w:cs="宋体"/>
          <w:b/>
          <w:bCs/>
          <w:color w:val="auto"/>
          <w:sz w:val="24"/>
          <w:highlight w:val="none"/>
        </w:rPr>
        <w:t>19. 参选截止时间</w:t>
      </w:r>
      <w:bookmarkEnd w:id="29"/>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0" w:name="_Toc202172765"/>
      <w:r>
        <w:rPr>
          <w:rFonts w:hint="eastAsia" w:ascii="宋体" w:hAnsi="宋体" w:eastAsia="宋体" w:cs="宋体"/>
          <w:b/>
          <w:bCs/>
          <w:color w:val="auto"/>
          <w:sz w:val="24"/>
          <w:highlight w:val="none"/>
        </w:rPr>
        <w:t>20. 迟交的参选文件</w:t>
      </w:r>
      <w:bookmarkEnd w:id="30"/>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66"/>
      <w:r>
        <w:rPr>
          <w:rFonts w:hint="eastAsia" w:ascii="宋体" w:hAnsi="宋体" w:eastAsia="宋体" w:cs="宋体"/>
          <w:b/>
          <w:bCs/>
          <w:color w:val="auto"/>
          <w:sz w:val="24"/>
          <w:highlight w:val="none"/>
        </w:rPr>
        <w:t>21. 参选文件的修改和撤回</w:t>
      </w:r>
      <w:bookmarkEnd w:id="31"/>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67"/>
      <w:r>
        <w:rPr>
          <w:rFonts w:hint="eastAsia" w:ascii="宋体" w:hAnsi="宋体" w:eastAsia="宋体" w:cs="宋体"/>
          <w:b/>
          <w:bCs/>
          <w:color w:val="auto"/>
          <w:sz w:val="24"/>
          <w:highlight w:val="none"/>
        </w:rPr>
        <w:t>五、 比选及</w:t>
      </w:r>
      <w:bookmarkEnd w:id="32"/>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3"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3"/>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3"/>
      <w:r>
        <w:rPr>
          <w:rFonts w:hint="eastAsia" w:ascii="宋体" w:hAnsi="宋体" w:eastAsia="宋体" w:cs="宋体"/>
          <w:b/>
          <w:bCs/>
          <w:color w:val="auto"/>
          <w:sz w:val="24"/>
          <w:highlight w:val="none"/>
        </w:rPr>
        <w:t>26. 与招标代理机构和比选人的接触</w:t>
      </w:r>
      <w:bookmarkEnd w:id="34"/>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5" w:name="_Toc202172774"/>
      <w:r>
        <w:rPr>
          <w:rFonts w:hint="eastAsia" w:ascii="宋体" w:hAnsi="宋体" w:eastAsia="宋体" w:cs="宋体"/>
          <w:b/>
          <w:bCs/>
          <w:color w:val="auto"/>
          <w:sz w:val="24"/>
          <w:highlight w:val="none"/>
        </w:rPr>
        <w:t>六、 授予合同</w:t>
      </w:r>
      <w:bookmarkEnd w:id="35"/>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6"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6"/>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江西中禹项目管理有限公司，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13036216210</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5"/>
    <w:bookmarkEnd w:id="6"/>
    <w:bookmarkEnd w:id="7"/>
    <w:bookmarkEnd w:id="8"/>
    <w:bookmarkEnd w:id="9"/>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9"/>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7" w:name="_Toc15373"/>
      <w:bookmarkStart w:id="38" w:name="_Toc29209"/>
      <w:r>
        <w:rPr>
          <w:rFonts w:hint="eastAsia" w:ascii="宋体" w:hAnsi="宋体" w:eastAsia="宋体" w:cs="宋体"/>
          <w:b/>
          <w:color w:val="auto"/>
          <w:sz w:val="32"/>
          <w:szCs w:val="32"/>
          <w:highlight w:val="none"/>
        </w:rPr>
        <w:t>第三章 评审办法</w:t>
      </w:r>
      <w:bookmarkEnd w:id="37"/>
      <w:bookmarkEnd w:id="38"/>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r>
        <w:rPr>
          <w:rFonts w:hint="eastAsia" w:ascii="宋体" w:hAnsi="宋体" w:cs="宋体"/>
          <w:color w:val="auto"/>
          <w:sz w:val="24"/>
          <w:highlight w:val="none"/>
          <w:lang w:val="zh-CN"/>
        </w:rPr>
        <w:t>商务</w:t>
      </w:r>
      <w:r>
        <w:rPr>
          <w:rFonts w:hint="eastAsia" w:ascii="宋体" w:hAnsi="宋体" w:eastAsia="宋体" w:cs="宋体"/>
          <w:color w:val="auto"/>
          <w:sz w:val="24"/>
          <w:highlight w:val="none"/>
          <w:lang w:val="zh-CN"/>
        </w:rPr>
        <w:t>分</w:t>
      </w:r>
      <w:r>
        <w:rPr>
          <w:rFonts w:hint="eastAsia" w:ascii="宋体" w:hAnsi="宋体" w:cs="宋体"/>
          <w:color w:val="auto"/>
          <w:sz w:val="24"/>
          <w:highlight w:val="none"/>
          <w:lang w:val="en-US" w:eastAsia="zh-CN"/>
        </w:rPr>
        <w:t>40</w:t>
      </w:r>
      <w:r>
        <w:rPr>
          <w:rFonts w:hint="eastAsia" w:ascii="宋体" w:hAnsi="宋体" w:eastAsia="宋体" w:cs="宋体"/>
          <w:color w:val="auto"/>
          <w:sz w:val="24"/>
          <w:highlight w:val="none"/>
        </w:rPr>
        <w:t>分</w:t>
      </w:r>
    </w:p>
    <w:p w14:paraId="72AC8E27">
      <w:pPr>
        <w:pageBreakBefore w:val="0"/>
        <w:kinsoku/>
        <w:overflowPunct/>
        <w:topLinePunct w:val="0"/>
        <w:autoSpaceDE w:val="0"/>
        <w:autoSpaceDN w:val="0"/>
        <w:bidi w:val="0"/>
        <w:adjustRightInd w:val="0"/>
        <w:snapToGrid w:val="0"/>
        <w:spacing w:line="400" w:lineRule="exact"/>
        <w:ind w:firstLine="480" w:firstLineChars="200"/>
        <w:outlineLvl w:val="2"/>
        <w:rPr>
          <w:rFonts w:hint="default" w:eastAsia="宋体"/>
          <w:color w:val="auto"/>
          <w:highlight w:val="none"/>
          <w:lang w:val="en-US" w:eastAsia="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2"/>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2"/>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2"/>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2"/>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r>
              <w:rPr>
                <w:rFonts w:hint="eastAsia" w:ascii="宋体" w:hAnsi="宋体" w:cs="宋体"/>
                <w:color w:val="auto"/>
                <w:sz w:val="24"/>
                <w:szCs w:val="24"/>
                <w:highlight w:val="none"/>
              </w:rPr>
              <w:t>。</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703" w:type="dxa"/>
            <w:vMerge w:val="restart"/>
            <w:tcBorders>
              <w:top w:val="single" w:color="auto" w:sz="4" w:space="0"/>
              <w:left w:val="single" w:color="auto" w:sz="4" w:space="0"/>
              <w:right w:val="single" w:color="auto" w:sz="4" w:space="0"/>
            </w:tcBorders>
            <w:noWrap w:val="0"/>
            <w:vAlign w:val="center"/>
          </w:tcPr>
          <w:p w14:paraId="17494150">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商务部分</w:t>
            </w:r>
          </w:p>
          <w:p w14:paraId="44E05A9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sz w:val="24"/>
                <w:szCs w:val="24"/>
                <w:highlight w:val="none"/>
                <w:lang w:val="en-US" w:eastAsia="zh-CN"/>
              </w:rPr>
              <w:t>（40</w:t>
            </w:r>
            <w:r>
              <w:rPr>
                <w:rFonts w:hint="eastAsia" w:ascii="宋体" w:hAnsi="宋体" w:cs="宋体"/>
                <w:sz w:val="24"/>
                <w:szCs w:val="24"/>
                <w:highlight w:val="none"/>
              </w:rPr>
              <w:t>分</w:t>
            </w:r>
            <w:r>
              <w:rPr>
                <w:rFonts w:hint="eastAsia" w:ascii="宋体" w:hAnsi="宋体" w:cs="宋体"/>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7022AE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企业实力</w:t>
            </w:r>
          </w:p>
          <w:p w14:paraId="030EBCB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sz w:val="24"/>
                <w:szCs w:val="24"/>
                <w:highlight w:val="none"/>
              </w:rPr>
              <w:t>(</w:t>
            </w:r>
            <w:r>
              <w:rPr>
                <w:rFonts w:hint="eastAsia" w:ascii="宋体" w:cs="宋体"/>
                <w:sz w:val="24"/>
                <w:szCs w:val="24"/>
                <w:highlight w:val="none"/>
                <w:lang w:val="en-US" w:eastAsia="zh-CN"/>
              </w:rPr>
              <w:t>20</w:t>
            </w:r>
            <w:r>
              <w:rPr>
                <w:rFonts w:hint="eastAsia" w:ascii="宋体" w:cs="宋体"/>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5767F12">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eastAsia="zh-CN"/>
              </w:rPr>
              <w:t>每承诺提供一辆运输车辆得</w:t>
            </w:r>
            <w:r>
              <w:rPr>
                <w:rFonts w:hint="eastAsia" w:ascii="宋体" w:hAnsi="宋体"/>
                <w:sz w:val="24"/>
                <w:szCs w:val="24"/>
                <w:highlight w:val="none"/>
                <w:lang w:val="en-US" w:eastAsia="zh-CN"/>
              </w:rPr>
              <w:t>2分，最高得20分。</w:t>
            </w:r>
          </w:p>
          <w:p w14:paraId="3E89A20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b/>
                <w:bCs/>
                <w:sz w:val="24"/>
                <w:szCs w:val="24"/>
                <w:highlight w:val="none"/>
                <w:lang w:val="en-US" w:eastAsia="zh-CN"/>
              </w:rPr>
              <w:t>评审依据：提供车辆行驶证或承诺函（格式自拟）。</w:t>
            </w:r>
          </w:p>
        </w:tc>
      </w:tr>
      <w:tr w14:paraId="2448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703" w:type="dxa"/>
            <w:vMerge w:val="continue"/>
            <w:tcBorders>
              <w:left w:val="single" w:color="auto" w:sz="4" w:space="0"/>
              <w:right w:val="single" w:color="auto" w:sz="4" w:space="0"/>
            </w:tcBorders>
            <w:noWrap w:val="0"/>
            <w:vAlign w:val="center"/>
          </w:tcPr>
          <w:p w14:paraId="2424C67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sz w:val="24"/>
                <w:szCs w:val="24"/>
                <w:highlight w:val="none"/>
                <w:lang w:val="en-US" w:eastAsia="zh-CN"/>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E36148D">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021BB25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3F716E93">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2AE35D6D">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b/>
                <w:bCs/>
                <w:sz w:val="24"/>
                <w:szCs w:val="24"/>
                <w:highlight w:val="none"/>
                <w:lang w:val="en-US" w:eastAsia="zh-CN"/>
              </w:rPr>
            </w:pPr>
            <w:r>
              <w:rPr>
                <w:rFonts w:hint="eastAsia" w:ascii="宋体" w:hAnsi="宋体" w:cs="宋体"/>
                <w:b/>
                <w:bCs/>
                <w:color w:val="auto"/>
                <w:sz w:val="24"/>
                <w:szCs w:val="24"/>
                <w:highlight w:val="none"/>
                <w:lang w:val="en-US" w:eastAsia="zh-CN"/>
              </w:rPr>
              <w:t>评审依据：参选文件中需提供合同复印件加盖公章。</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2"/>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bl>
    <w:p w14:paraId="693879E3">
      <w:pPr>
        <w:rPr>
          <w:rFonts w:hint="eastAsia" w:ascii="宋体" w:hAnsi="宋体" w:eastAsia="宋体" w:cs="宋体"/>
          <w:b/>
          <w:color w:val="auto"/>
          <w:sz w:val="32"/>
          <w:szCs w:val="32"/>
          <w:highlight w:val="none"/>
          <w:lang w:eastAsia="zh-CN"/>
        </w:rPr>
      </w:pPr>
      <w:bookmarkStart w:id="39"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40" w:name="_Toc10894"/>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9"/>
      <w:bookmarkEnd w:id="40"/>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tbl>
      <w:tblPr>
        <w:tblStyle w:val="26"/>
        <w:tblW w:w="107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
        <w:gridCol w:w="1042"/>
        <w:gridCol w:w="2550"/>
        <w:gridCol w:w="660"/>
        <w:gridCol w:w="975"/>
        <w:gridCol w:w="870"/>
        <w:gridCol w:w="870"/>
        <w:gridCol w:w="480"/>
        <w:gridCol w:w="1140"/>
        <w:gridCol w:w="1666"/>
      </w:tblGrid>
      <w:tr w14:paraId="54A3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47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FFC4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5036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劳务工作名称</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FA22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C98E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194A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暂估工程量</w:t>
            </w:r>
          </w:p>
        </w:tc>
        <w:tc>
          <w:tcPr>
            <w:tcW w:w="33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78E8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6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98C8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C34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D0CA3FF">
            <w:pPr>
              <w:jc w:val="center"/>
              <w:rPr>
                <w:rFonts w:hint="eastAsia" w:ascii="宋体" w:hAnsi="宋体" w:eastAsia="宋体" w:cs="宋体"/>
                <w:i w:val="0"/>
                <w:iCs w:val="0"/>
                <w:color w:val="000000"/>
                <w:sz w:val="20"/>
                <w:szCs w:val="20"/>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45A8977">
            <w:pPr>
              <w:jc w:val="center"/>
              <w:rPr>
                <w:rFonts w:hint="eastAsia" w:ascii="宋体" w:hAnsi="宋体" w:eastAsia="宋体" w:cs="宋体"/>
                <w:i w:val="0"/>
                <w:iCs w:val="0"/>
                <w:color w:val="000000"/>
                <w:sz w:val="20"/>
                <w:szCs w:val="20"/>
                <w:u w:val="none"/>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4553073">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732A9A7">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F81BC72">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D8A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不含税单价</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DFC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79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BC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含税合价</w:t>
            </w:r>
          </w:p>
        </w:tc>
        <w:tc>
          <w:tcPr>
            <w:tcW w:w="166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6A2B76A">
            <w:pPr>
              <w:jc w:val="center"/>
              <w:rPr>
                <w:rFonts w:hint="eastAsia" w:ascii="宋体" w:hAnsi="宋体" w:eastAsia="宋体" w:cs="宋体"/>
                <w:i w:val="0"/>
                <w:iCs w:val="0"/>
                <w:color w:val="000000"/>
                <w:sz w:val="20"/>
                <w:szCs w:val="20"/>
                <w:u w:val="none"/>
              </w:rPr>
            </w:pPr>
          </w:p>
        </w:tc>
      </w:tr>
      <w:tr w14:paraId="1111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5D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2A70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种植土挖装及运输</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0FF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1、含税单价包含种植土资源费、运输、装卸到场等全部工作费用（综合考虑所有税费），运输距离综合考虑；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2、投标单位应按全费用综合单价清单模式进行报价。</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65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A5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1449.00 </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D8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419.27 </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C8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457.00 </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49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21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662193.00 </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78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土方运输车厢尺寸应不小于5.6m*2.3m*1.5m</w:t>
            </w:r>
          </w:p>
        </w:tc>
      </w:tr>
      <w:tr w14:paraId="26DF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570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324DF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33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CA33F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662193.00 </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B6FC85">
            <w:pPr>
              <w:jc w:val="center"/>
              <w:rPr>
                <w:rFonts w:hint="eastAsia" w:ascii="宋体" w:hAnsi="宋体" w:eastAsia="宋体" w:cs="宋体"/>
                <w:b/>
                <w:bCs/>
                <w:i w:val="0"/>
                <w:iCs w:val="0"/>
                <w:color w:val="000000"/>
                <w:sz w:val="24"/>
                <w:szCs w:val="24"/>
                <w:u w:val="none"/>
              </w:rPr>
            </w:pPr>
          </w:p>
        </w:tc>
      </w:tr>
      <w:tr w14:paraId="50EB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10731" w:type="dxa"/>
            <w:gridSpan w:val="10"/>
            <w:tcBorders>
              <w:top w:val="nil"/>
              <w:left w:val="nil"/>
              <w:bottom w:val="nil"/>
              <w:right w:val="nil"/>
            </w:tcBorders>
            <w:shd w:val="clear" w:color="auto" w:fill="auto"/>
            <w:vAlign w:val="top"/>
          </w:tcPr>
          <w:p w14:paraId="3E5337C5">
            <w:pPr>
              <w:keepNext w:val="0"/>
              <w:keepLines w:val="0"/>
              <w:widowControl/>
              <w:suppressLineNumbers w:val="0"/>
              <w:jc w:val="left"/>
              <w:textAlignment w:val="top"/>
              <w:rPr>
                <w:rFonts w:ascii="??" w:hAnsi="??" w:eastAsia="??" w: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1、招标工程量暂定，结算据实调整。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2、本单价参考劳动力、机械租赁市场价格，以上含税单价均包括种植土资源费、运输、装卸到场等全部工作费用。（含税单价综合考虑所有税费）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3、特征描述中不完善，但按常规属于完成该对应子目所必须有的工作内容，视为已包含在含税单价中。</w:t>
            </w:r>
          </w:p>
        </w:tc>
      </w:tr>
    </w:tbl>
    <w:p w14:paraId="4516A551">
      <w:pPr>
        <w:pStyle w:val="9"/>
        <w:rPr>
          <w:rFonts w:hint="eastAsia"/>
          <w:lang w:val="en-US" w:eastAsia="zh-CN"/>
        </w:rPr>
      </w:pP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3、工程分包约定：不能分包。</w:t>
      </w:r>
    </w:p>
    <w:p w14:paraId="589E07FE">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4、项目地点：招标人指定地点。</w:t>
      </w:r>
    </w:p>
    <w:p w14:paraId="0DBF0408">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5、施工要求： </w:t>
      </w:r>
    </w:p>
    <w:p w14:paraId="493E8F78">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1）针对本项目要求制定施工进度计划及保证措施交由招标人备案。 </w:t>
      </w:r>
    </w:p>
    <w:p w14:paraId="6DF45990">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2）在施工区域四周设置安全围护，夜间设置红色照明警示灯。 </w:t>
      </w:r>
    </w:p>
    <w:p w14:paraId="385FBA34">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3）施工时需配备专人指挥，实行定机、定人、定岗管理职责。 </w:t>
      </w:r>
    </w:p>
    <w:p w14:paraId="6E4A7E8F">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4）保证施工过程中的安全，任何人员事故由中标单位自行负责并承担费用； </w:t>
      </w:r>
    </w:p>
    <w:p w14:paraId="2FAEA795">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5）定期对员工进行安全、文明教育并留有记录备查。 </w:t>
      </w:r>
    </w:p>
    <w:p w14:paraId="144EF77B">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6、运输要求： </w:t>
      </w:r>
    </w:p>
    <w:p w14:paraId="2057953F">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1）土方处置地点由中标单位选择，且土方处置地点须符合相关政策要求，如造成的相关法律责任及民事纠纷均由中标单位承担。 </w:t>
      </w:r>
    </w:p>
    <w:p w14:paraId="2EA9D827">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2）需针对本项目要求制定土方运输路线规划。 </w:t>
      </w:r>
    </w:p>
    <w:p w14:paraId="3D778C87">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3）按标准设置车辆冲洗平台、出入口硬化等工作。 </w:t>
      </w:r>
    </w:p>
    <w:p w14:paraId="40EA5BFC">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4）所投入本项目的所有运输车辆、驾驶人证照必须齐全，并购买保险，不合格（包括无证和证件过期）的，不能承担运输任务。 </w:t>
      </w:r>
    </w:p>
    <w:p w14:paraId="37860E45">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5）运输土方的车辆驶离挖方地块时，必须冲洗车体，保持车辆干净整洁；运输路线上做到随时清扫散落的土方及泥浆。 </w:t>
      </w:r>
    </w:p>
    <w:p w14:paraId="545073F1">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6）运输土方的车辆必须按指定的运输路线行驶。运输过程中，应限量装载，车厢上部必须覆盖蓬布或采取其他有效措施，防止渣土沿途泄漏、飞扬。 </w:t>
      </w:r>
    </w:p>
    <w:p w14:paraId="721A03F8">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7）必须按照公安、路政、公路、城管等有关管理部门的要求合法合规运输，如违反规定运输，所有责任由中标单位自行承担。 </w:t>
      </w:r>
    </w:p>
    <w:p w14:paraId="71AFCDA7">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8）运输土方应实行定人、定车、定岗管理职责。 </w:t>
      </w:r>
    </w:p>
    <w:p w14:paraId="0FD1D5E1">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9）保证运输车辆在运输过程中的安全，任何车辆、人员事故由服务商自行负责并承担费用；定期对其员工进行安全、文明教育并留有记录备查。 </w:t>
      </w:r>
    </w:p>
    <w:p w14:paraId="5F99B770">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7、本项目采用工程量清单计价方式。</w:t>
      </w:r>
    </w:p>
    <w:p w14:paraId="1C0C7683">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8、工程款支付：</w:t>
      </w:r>
    </w:p>
    <w:p w14:paraId="734F2C4E">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甲方根据乙方实际完成的工程量（以经有资质的第三方测量工程量数据为准）支付进度款，支付比例为已完成合格工程量对应工程量价款的80%； </w:t>
      </w:r>
    </w:p>
    <w:p w14:paraId="09DFD80F">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工程完工办理验收后支付至验收合格工程量价款的85%，办理竣工验收后，结算审计完成支付至结算价的97%，剩余3%作为质保金，待质量缺陷责任期（3个月）满后一次性无息支付</w:t>
      </w:r>
    </w:p>
    <w:p w14:paraId="699C27A9">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9、工期延误赔偿费：工期延误赔偿5000元/日历天。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10、中标单位须开具有效增值税专用发票</w:t>
      </w:r>
      <w:r>
        <w:rPr>
          <w:rFonts w:hint="eastAsia" w:ascii="宋体" w:hAnsi="宋体" w:eastAsia="宋体" w:cs="宋体"/>
          <w:color w:val="auto"/>
          <w:kern w:val="2"/>
          <w:sz w:val="24"/>
          <w:szCs w:val="24"/>
          <w:highlight w:val="none"/>
          <w:lang w:val="en-US" w:eastAsia="zh-CN" w:bidi="ar-SA"/>
        </w:rPr>
        <w:t>。</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2"/>
        <w:numPr>
          <w:ilvl w:val="0"/>
          <w:numId w:val="0"/>
        </w:numPr>
        <w:rPr>
          <w:rFonts w:hint="eastAsia"/>
          <w:color w:val="auto"/>
          <w:highlight w:val="none"/>
          <w:lang w:val="en-US" w:eastAsia="zh-CN"/>
        </w:rPr>
      </w:pPr>
    </w:p>
    <w:p w14:paraId="6455977D">
      <w:pPr>
        <w:rPr>
          <w:rFonts w:hint="eastAsia" w:ascii="宋体" w:hAnsi="宋体" w:cs="宋体"/>
          <w:color w:val="auto"/>
          <w:sz w:val="32"/>
          <w:szCs w:val="32"/>
          <w:highlight w:val="none"/>
          <w:lang w:val="en-US" w:eastAsia="zh-CN"/>
        </w:rPr>
      </w:pPr>
      <w:bookmarkStart w:id="41" w:name="_Toc8453"/>
      <w:r>
        <w:rPr>
          <w:rFonts w:hint="eastAsia" w:ascii="宋体" w:hAnsi="宋体" w:cs="宋体"/>
          <w:color w:val="auto"/>
          <w:sz w:val="32"/>
          <w:szCs w:val="32"/>
          <w:highlight w:val="none"/>
          <w:lang w:val="en-US" w:eastAsia="zh-CN"/>
        </w:rPr>
        <w:br w:type="page"/>
      </w: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bookmarkEnd w:id="41"/>
    </w:p>
    <w:p w14:paraId="5FC3A6B5">
      <w:pPr>
        <w:snapToGrid w:val="0"/>
        <w:spacing w:line="360" w:lineRule="auto"/>
        <w:jc w:val="center"/>
        <w:rPr>
          <w:rFonts w:hint="eastAsia" w:ascii="宋体" w:hAnsi="宋体" w:cs="宋体"/>
          <w:color w:val="auto"/>
          <w:sz w:val="24"/>
          <w:highlight w:val="none"/>
        </w:rPr>
      </w:pPr>
      <w:bookmarkStart w:id="42"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43" w:name="_Toc30601"/>
      <w:bookmarkStart w:id="44"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42"/>
      <w:r>
        <w:rPr>
          <w:rFonts w:hint="eastAsia" w:ascii="宋体" w:hAnsi="宋体" w:cs="宋体"/>
          <w:color w:val="auto"/>
          <w:sz w:val="44"/>
          <w:szCs w:val="44"/>
          <w:highlight w:val="none"/>
        </w:rPr>
        <w:t>格式</w:t>
      </w:r>
      <w:bookmarkEnd w:id="43"/>
      <w:bookmarkEnd w:id="44"/>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45" w:name="_Toc324678969"/>
      <w:bookmarkStart w:id="46" w:name="_Toc377982361"/>
      <w:bookmarkStart w:id="47" w:name="_Toc182285110"/>
      <w:bookmarkStart w:id="48" w:name="_Toc178705054"/>
    </w:p>
    <w:p w14:paraId="20C04ECC">
      <w:pPr>
        <w:jc w:val="center"/>
        <w:rPr>
          <w:rFonts w:hint="eastAsia" w:ascii="宋体" w:hAnsi="宋体" w:cs="宋体"/>
          <w:b/>
          <w:bCs/>
          <w:color w:val="auto"/>
          <w:sz w:val="36"/>
          <w:szCs w:val="36"/>
          <w:highlight w:val="none"/>
        </w:rPr>
        <w:sectPr>
          <w:footerReference r:id="rId5" w:type="default"/>
          <w:pgSz w:w="11906" w:h="16838"/>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45"/>
      <w:bookmarkEnd w:id="46"/>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7"/>
      <w:bookmarkEnd w:id="48"/>
      <w:bookmarkStart w:id="49" w:name="_Toc377982362"/>
      <w:bookmarkStart w:id="50" w:name="_Toc324678970"/>
    </w:p>
    <w:bookmarkEnd w:id="49"/>
    <w:p w14:paraId="43523EB4">
      <w:pPr>
        <w:jc w:val="center"/>
        <w:rPr>
          <w:rFonts w:hint="eastAsia" w:ascii="宋体" w:hAnsi="宋体" w:cs="宋体"/>
          <w:b/>
          <w:bCs/>
          <w:color w:val="auto"/>
          <w:sz w:val="36"/>
          <w:szCs w:val="36"/>
          <w:highlight w:val="none"/>
        </w:rPr>
      </w:pPr>
      <w:bookmarkStart w:id="51" w:name="_Toc377982363"/>
      <w:r>
        <w:rPr>
          <w:rFonts w:hint="eastAsia" w:ascii="宋体" w:hAnsi="宋体" w:cs="宋体"/>
          <w:b/>
          <w:bCs/>
          <w:color w:val="auto"/>
          <w:sz w:val="36"/>
          <w:szCs w:val="36"/>
          <w:highlight w:val="none"/>
        </w:rPr>
        <w:t>2、开标一览表</w:t>
      </w:r>
      <w:bookmarkEnd w:id="50"/>
      <w:bookmarkEnd w:id="51"/>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52" w:name="_Toc324678971"/>
      <w:bookmarkStart w:id="53" w:name="_Toc403422543"/>
      <w:bookmarkStart w:id="54"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9"/>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52"/>
      <w:bookmarkEnd w:id="53"/>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55"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6"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6"/>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55"/>
    <w:p w14:paraId="68C34501">
      <w:pPr>
        <w:pStyle w:val="14"/>
        <w:rPr>
          <w:rFonts w:hint="eastAsia" w:hAnsi="宋体" w:cs="宋体"/>
          <w:color w:val="auto"/>
          <w:sz w:val="24"/>
          <w:szCs w:val="24"/>
          <w:highlight w:val="none"/>
          <w:u w:val="single"/>
        </w:rPr>
      </w:pPr>
      <w:bookmarkStart w:id="57"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7"/>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8"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8"/>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9"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9"/>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9"/>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60" w:name="_Toc324678979"/>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6FACC6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具有有效的《中华人民共和国道路运输经营许可证》</w:t>
      </w:r>
      <w:r>
        <w:rPr>
          <w:rFonts w:hint="eastAsia" w:ascii="宋体" w:hAnsi="宋体" w:cs="宋体"/>
          <w:color w:val="auto"/>
          <w:sz w:val="22"/>
          <w:szCs w:val="22"/>
          <w:highlight w:val="none"/>
          <w:lang w:val="en-US" w:eastAsia="zh-CN"/>
        </w:rPr>
        <w:t>；</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9"/>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9"/>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9"/>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9"/>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9"/>
        <w:ind w:firstLine="640"/>
        <w:rPr>
          <w:rFonts w:hint="eastAsia" w:ascii="宋体" w:hAnsi="宋体" w:cs="宋体"/>
          <w:color w:val="auto"/>
          <w:sz w:val="24"/>
          <w:szCs w:val="24"/>
          <w:highlight w:val="none"/>
        </w:rPr>
      </w:pPr>
    </w:p>
    <w:p w14:paraId="4F1C1B9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9"/>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9"/>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9"/>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9"/>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9"/>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9"/>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9"/>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61" w:name="_Toc12395"/>
      <w:bookmarkStart w:id="62" w:name="_Toc99713455"/>
      <w:bookmarkStart w:id="63" w:name="_Toc99713342"/>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61"/>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62"/>
      <w:bookmarkEnd w:id="63"/>
    </w:p>
    <w:p w14:paraId="1EF010C1">
      <w:pPr>
        <w:pStyle w:val="78"/>
        <w:spacing w:line="360" w:lineRule="auto"/>
        <w:ind w:firstLine="482"/>
        <w:rPr>
          <w:rFonts w:hint="eastAsia" w:ascii="宋体" w:hAnsi="宋体" w:cs="宋体"/>
          <w:color w:val="auto"/>
          <w:sz w:val="24"/>
          <w:szCs w:val="24"/>
          <w:highlight w:val="none"/>
        </w:rPr>
      </w:pPr>
    </w:p>
    <w:p w14:paraId="623A1362">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9"/>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9"/>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9"/>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60"/>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54"/>
    <w:p w14:paraId="03CAE162">
      <w:pPr>
        <w:numPr>
          <w:ilvl w:val="0"/>
          <w:numId w:val="8"/>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D145">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F38D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2F38D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51E9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251E9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76C66">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576C66">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78D2E">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F78D2E">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AF31">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33AF31">
                    <w:pPr>
                      <w:pStyle w:val="17"/>
                    </w:pPr>
                    <w:r>
                      <w:fldChar w:fldCharType="begin"/>
                    </w:r>
                    <w:r>
                      <w:instrText xml:space="preserve"> PAGE  \* MERGEFORMAT </w:instrText>
                    </w:r>
                    <w:r>
                      <w:fldChar w:fldCharType="separate"/>
                    </w:r>
                    <w:r>
                      <w:t>34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19CBE1E7"/>
    <w:multiLevelType w:val="singleLevel"/>
    <w:tmpl w:val="19CBE1E7"/>
    <w:lvl w:ilvl="0" w:tentative="0">
      <w:start w:val="10"/>
      <w:numFmt w:val="decimal"/>
      <w:suff w:val="nothing"/>
      <w:lvlText w:val="%1、"/>
      <w:lvlJc w:val="left"/>
    </w:lvl>
  </w:abstractNum>
  <w:abstractNum w:abstractNumId="4">
    <w:nsid w:val="387C05A9"/>
    <w:multiLevelType w:val="singleLevel"/>
    <w:tmpl w:val="387C05A9"/>
    <w:lvl w:ilvl="0" w:tentative="0">
      <w:start w:val="1"/>
      <w:numFmt w:val="decimal"/>
      <w:lvlText w:val="%1."/>
      <w:lvlJc w:val="left"/>
      <w:pPr>
        <w:tabs>
          <w:tab w:val="left" w:pos="312"/>
        </w:tabs>
      </w:pPr>
    </w:lvl>
  </w:abstractNum>
  <w:abstractNum w:abstractNumId="5">
    <w:nsid w:val="570B55D8"/>
    <w:multiLevelType w:val="singleLevel"/>
    <w:tmpl w:val="570B55D8"/>
    <w:lvl w:ilvl="0" w:tentative="0">
      <w:start w:val="7"/>
      <w:numFmt w:val="chineseCounting"/>
      <w:suff w:val="nothing"/>
      <w:lvlText w:val="%1、"/>
      <w:lvlJc w:val="left"/>
    </w:lvl>
  </w:abstractNum>
  <w:abstractNum w:abstractNumId="6">
    <w:nsid w:val="5A167C99"/>
    <w:multiLevelType w:val="singleLevel"/>
    <w:tmpl w:val="5A167C99"/>
    <w:lvl w:ilvl="0" w:tentative="0">
      <w:start w:val="2"/>
      <w:numFmt w:val="chineseCounting"/>
      <w:suff w:val="nothing"/>
      <w:lvlText w:val="%1、"/>
      <w:lvlJc w:val="left"/>
      <w:rPr>
        <w:rFonts w:hint="eastAsia"/>
      </w:rPr>
    </w:lvl>
  </w:abstractNum>
  <w:abstractNum w:abstractNumId="7">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7"/>
  </w:num>
  <w:num w:numId="3">
    <w:abstractNumId w:val="5"/>
  </w:num>
  <w:num w:numId="4">
    <w:abstractNumId w:val="6"/>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755F0"/>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2FE"/>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A67B7"/>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3C3FA2"/>
    <w:rsid w:val="015C4CBF"/>
    <w:rsid w:val="01A96C88"/>
    <w:rsid w:val="01C268D7"/>
    <w:rsid w:val="024E7E34"/>
    <w:rsid w:val="026E4641"/>
    <w:rsid w:val="029C58B6"/>
    <w:rsid w:val="02A87086"/>
    <w:rsid w:val="03311390"/>
    <w:rsid w:val="0344455C"/>
    <w:rsid w:val="0350044F"/>
    <w:rsid w:val="03AB5A37"/>
    <w:rsid w:val="03D15ABC"/>
    <w:rsid w:val="03F87849"/>
    <w:rsid w:val="04854128"/>
    <w:rsid w:val="04C35E11"/>
    <w:rsid w:val="04DC52CD"/>
    <w:rsid w:val="050722F0"/>
    <w:rsid w:val="054138E3"/>
    <w:rsid w:val="056E043F"/>
    <w:rsid w:val="05760640"/>
    <w:rsid w:val="057C5441"/>
    <w:rsid w:val="05812B41"/>
    <w:rsid w:val="05912F53"/>
    <w:rsid w:val="05962755"/>
    <w:rsid w:val="05BB0CE0"/>
    <w:rsid w:val="05CA08A8"/>
    <w:rsid w:val="063F6C84"/>
    <w:rsid w:val="065344DE"/>
    <w:rsid w:val="065D35AE"/>
    <w:rsid w:val="066F1ED1"/>
    <w:rsid w:val="06AC1E40"/>
    <w:rsid w:val="06AD5647"/>
    <w:rsid w:val="06BE6425"/>
    <w:rsid w:val="06BF609C"/>
    <w:rsid w:val="07064F2D"/>
    <w:rsid w:val="071874D5"/>
    <w:rsid w:val="073A633E"/>
    <w:rsid w:val="07512148"/>
    <w:rsid w:val="076C56D4"/>
    <w:rsid w:val="078A2E29"/>
    <w:rsid w:val="079E317F"/>
    <w:rsid w:val="07C817D3"/>
    <w:rsid w:val="07CA07CF"/>
    <w:rsid w:val="07DC63DC"/>
    <w:rsid w:val="081D3768"/>
    <w:rsid w:val="086A3D60"/>
    <w:rsid w:val="089E2D0C"/>
    <w:rsid w:val="08D40E04"/>
    <w:rsid w:val="08F14E86"/>
    <w:rsid w:val="08FD2D02"/>
    <w:rsid w:val="092A6F91"/>
    <w:rsid w:val="09391507"/>
    <w:rsid w:val="094840A2"/>
    <w:rsid w:val="09F91840"/>
    <w:rsid w:val="09FF67ED"/>
    <w:rsid w:val="0A685934"/>
    <w:rsid w:val="0A8C4462"/>
    <w:rsid w:val="0AA75373"/>
    <w:rsid w:val="0AC57974"/>
    <w:rsid w:val="0AF73FD4"/>
    <w:rsid w:val="0B05031C"/>
    <w:rsid w:val="0B34739F"/>
    <w:rsid w:val="0B560A80"/>
    <w:rsid w:val="0B683537"/>
    <w:rsid w:val="0B8F26BD"/>
    <w:rsid w:val="0BDE4F88"/>
    <w:rsid w:val="0BDE701D"/>
    <w:rsid w:val="0BF2247E"/>
    <w:rsid w:val="0C3D67FB"/>
    <w:rsid w:val="0C762CD4"/>
    <w:rsid w:val="0C86753C"/>
    <w:rsid w:val="0C8E2713"/>
    <w:rsid w:val="0CAA0BCF"/>
    <w:rsid w:val="0CB96085"/>
    <w:rsid w:val="0CCC0884"/>
    <w:rsid w:val="0CF63E15"/>
    <w:rsid w:val="0CFB55B7"/>
    <w:rsid w:val="0D073DD1"/>
    <w:rsid w:val="0D735465"/>
    <w:rsid w:val="0D8670BE"/>
    <w:rsid w:val="0D8D6983"/>
    <w:rsid w:val="0DC9777B"/>
    <w:rsid w:val="0DDF6F9F"/>
    <w:rsid w:val="0DF249F4"/>
    <w:rsid w:val="0DF708E4"/>
    <w:rsid w:val="0E0C3E24"/>
    <w:rsid w:val="0E5C3669"/>
    <w:rsid w:val="0E6869AA"/>
    <w:rsid w:val="0E6C0EED"/>
    <w:rsid w:val="0E8C4A31"/>
    <w:rsid w:val="0E9E6512"/>
    <w:rsid w:val="0EAC1036"/>
    <w:rsid w:val="0EB2020F"/>
    <w:rsid w:val="0EB977F0"/>
    <w:rsid w:val="0ED34CF7"/>
    <w:rsid w:val="0EEC7BA6"/>
    <w:rsid w:val="0EFD4D2D"/>
    <w:rsid w:val="0F0E2B80"/>
    <w:rsid w:val="0F1F6CBB"/>
    <w:rsid w:val="0F6159A2"/>
    <w:rsid w:val="0FE61EC6"/>
    <w:rsid w:val="0FED14FF"/>
    <w:rsid w:val="101F5E42"/>
    <w:rsid w:val="10370789"/>
    <w:rsid w:val="115C3E6F"/>
    <w:rsid w:val="11BA18B5"/>
    <w:rsid w:val="11DA17B3"/>
    <w:rsid w:val="11DF310D"/>
    <w:rsid w:val="11E00BDC"/>
    <w:rsid w:val="1223332E"/>
    <w:rsid w:val="12354787"/>
    <w:rsid w:val="12463148"/>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6F0C08"/>
    <w:rsid w:val="15745AC0"/>
    <w:rsid w:val="157502AF"/>
    <w:rsid w:val="158005E4"/>
    <w:rsid w:val="15AD693F"/>
    <w:rsid w:val="15AE7646"/>
    <w:rsid w:val="15CA1D79"/>
    <w:rsid w:val="15D527D2"/>
    <w:rsid w:val="15DB4E7E"/>
    <w:rsid w:val="16605DED"/>
    <w:rsid w:val="16610152"/>
    <w:rsid w:val="16AD5139"/>
    <w:rsid w:val="16B66298"/>
    <w:rsid w:val="16BA0495"/>
    <w:rsid w:val="16D21D27"/>
    <w:rsid w:val="170535D2"/>
    <w:rsid w:val="17167C82"/>
    <w:rsid w:val="172A4ACD"/>
    <w:rsid w:val="17326391"/>
    <w:rsid w:val="175D340E"/>
    <w:rsid w:val="177A21B0"/>
    <w:rsid w:val="17A54DB5"/>
    <w:rsid w:val="17AD5A18"/>
    <w:rsid w:val="17D14880"/>
    <w:rsid w:val="17D46344"/>
    <w:rsid w:val="17E01949"/>
    <w:rsid w:val="17ED150C"/>
    <w:rsid w:val="17FD51E2"/>
    <w:rsid w:val="185719DE"/>
    <w:rsid w:val="186409B4"/>
    <w:rsid w:val="18754787"/>
    <w:rsid w:val="188B2F75"/>
    <w:rsid w:val="188B3FAB"/>
    <w:rsid w:val="188E3A9B"/>
    <w:rsid w:val="1890381F"/>
    <w:rsid w:val="18ED00D4"/>
    <w:rsid w:val="191948E9"/>
    <w:rsid w:val="192835A8"/>
    <w:rsid w:val="19670574"/>
    <w:rsid w:val="1973301A"/>
    <w:rsid w:val="19EA4DD2"/>
    <w:rsid w:val="1A2F5158"/>
    <w:rsid w:val="1A3862ED"/>
    <w:rsid w:val="1A8A6543"/>
    <w:rsid w:val="1A9759C4"/>
    <w:rsid w:val="1AA17AB6"/>
    <w:rsid w:val="1AC67B91"/>
    <w:rsid w:val="1AD50D1A"/>
    <w:rsid w:val="1AFD0A64"/>
    <w:rsid w:val="1AFD5285"/>
    <w:rsid w:val="1BB07651"/>
    <w:rsid w:val="1BCC0565"/>
    <w:rsid w:val="1C163B8C"/>
    <w:rsid w:val="1C2D6F1E"/>
    <w:rsid w:val="1C871028"/>
    <w:rsid w:val="1D0B4383"/>
    <w:rsid w:val="1D5A13F5"/>
    <w:rsid w:val="1D820805"/>
    <w:rsid w:val="1D9C7CD3"/>
    <w:rsid w:val="1DD90149"/>
    <w:rsid w:val="1DE1641B"/>
    <w:rsid w:val="1E522E75"/>
    <w:rsid w:val="1E602499"/>
    <w:rsid w:val="1E6B3850"/>
    <w:rsid w:val="1ED55F80"/>
    <w:rsid w:val="1EDC1CBA"/>
    <w:rsid w:val="1EF71D1B"/>
    <w:rsid w:val="1F114ADE"/>
    <w:rsid w:val="1F387E86"/>
    <w:rsid w:val="1F44616C"/>
    <w:rsid w:val="1F903F67"/>
    <w:rsid w:val="1FB22586"/>
    <w:rsid w:val="1FE81CE3"/>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2C73531"/>
    <w:rsid w:val="2309061C"/>
    <w:rsid w:val="23221CEF"/>
    <w:rsid w:val="2349415A"/>
    <w:rsid w:val="23753417"/>
    <w:rsid w:val="23A176D2"/>
    <w:rsid w:val="23A2454D"/>
    <w:rsid w:val="23E629DD"/>
    <w:rsid w:val="240D7F6A"/>
    <w:rsid w:val="24482643"/>
    <w:rsid w:val="24D008B2"/>
    <w:rsid w:val="251B66B7"/>
    <w:rsid w:val="251D242F"/>
    <w:rsid w:val="252235A1"/>
    <w:rsid w:val="253B4663"/>
    <w:rsid w:val="255D6CCF"/>
    <w:rsid w:val="256A5140"/>
    <w:rsid w:val="25777D91"/>
    <w:rsid w:val="257D276E"/>
    <w:rsid w:val="257F09F3"/>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8C73F8"/>
    <w:rsid w:val="27C60E05"/>
    <w:rsid w:val="27F82CDF"/>
    <w:rsid w:val="281726D9"/>
    <w:rsid w:val="284535C9"/>
    <w:rsid w:val="28667D5D"/>
    <w:rsid w:val="28CE7FF3"/>
    <w:rsid w:val="290E5610"/>
    <w:rsid w:val="29647755"/>
    <w:rsid w:val="2979501E"/>
    <w:rsid w:val="29C133F2"/>
    <w:rsid w:val="29F15568"/>
    <w:rsid w:val="2A020CD7"/>
    <w:rsid w:val="2A4047AF"/>
    <w:rsid w:val="2A443FBA"/>
    <w:rsid w:val="2A4508C5"/>
    <w:rsid w:val="2A4C31DA"/>
    <w:rsid w:val="2A917854"/>
    <w:rsid w:val="2A995D5F"/>
    <w:rsid w:val="2AD755F7"/>
    <w:rsid w:val="2AE73D3A"/>
    <w:rsid w:val="2AFA40C1"/>
    <w:rsid w:val="2B4A64A6"/>
    <w:rsid w:val="2BA07B5C"/>
    <w:rsid w:val="2BD41C66"/>
    <w:rsid w:val="2BD71CD3"/>
    <w:rsid w:val="2C0509E9"/>
    <w:rsid w:val="2C387018"/>
    <w:rsid w:val="2C444745"/>
    <w:rsid w:val="2C9D6CDB"/>
    <w:rsid w:val="2CC71DF2"/>
    <w:rsid w:val="2D1D71A5"/>
    <w:rsid w:val="2D466A9F"/>
    <w:rsid w:val="2D4805D8"/>
    <w:rsid w:val="2D4C1195"/>
    <w:rsid w:val="2D866137"/>
    <w:rsid w:val="2DE23F54"/>
    <w:rsid w:val="2DF16F3B"/>
    <w:rsid w:val="2DFE0923"/>
    <w:rsid w:val="2E044338"/>
    <w:rsid w:val="2E0D090C"/>
    <w:rsid w:val="2E66398B"/>
    <w:rsid w:val="2E7740E9"/>
    <w:rsid w:val="2E777886"/>
    <w:rsid w:val="2ECF2E25"/>
    <w:rsid w:val="2EF452FB"/>
    <w:rsid w:val="2F0B32F8"/>
    <w:rsid w:val="2F1A4FD5"/>
    <w:rsid w:val="2F8831F1"/>
    <w:rsid w:val="2FA874B6"/>
    <w:rsid w:val="30246C0C"/>
    <w:rsid w:val="302503E9"/>
    <w:rsid w:val="303171EB"/>
    <w:rsid w:val="303625F7"/>
    <w:rsid w:val="30406FD1"/>
    <w:rsid w:val="3046259A"/>
    <w:rsid w:val="305B44E3"/>
    <w:rsid w:val="3096519F"/>
    <w:rsid w:val="309704E6"/>
    <w:rsid w:val="30D53BBD"/>
    <w:rsid w:val="31217A55"/>
    <w:rsid w:val="313844C5"/>
    <w:rsid w:val="317F180E"/>
    <w:rsid w:val="31803FF0"/>
    <w:rsid w:val="318319E3"/>
    <w:rsid w:val="31AC254D"/>
    <w:rsid w:val="31C01C06"/>
    <w:rsid w:val="31E92DC9"/>
    <w:rsid w:val="3230262D"/>
    <w:rsid w:val="32313075"/>
    <w:rsid w:val="327219E3"/>
    <w:rsid w:val="327E4F11"/>
    <w:rsid w:val="32822998"/>
    <w:rsid w:val="328E4A64"/>
    <w:rsid w:val="32A01E64"/>
    <w:rsid w:val="32AB77DD"/>
    <w:rsid w:val="32C52348"/>
    <w:rsid w:val="32D5526B"/>
    <w:rsid w:val="32FA0324"/>
    <w:rsid w:val="33861E21"/>
    <w:rsid w:val="338813BB"/>
    <w:rsid w:val="33C7324E"/>
    <w:rsid w:val="33DE547F"/>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576592"/>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875B05"/>
    <w:rsid w:val="39966CA5"/>
    <w:rsid w:val="39A945FB"/>
    <w:rsid w:val="39EE2B79"/>
    <w:rsid w:val="3A1669C2"/>
    <w:rsid w:val="3A34785C"/>
    <w:rsid w:val="3A4418D3"/>
    <w:rsid w:val="3A695377"/>
    <w:rsid w:val="3A8C1EEB"/>
    <w:rsid w:val="3AE22A0F"/>
    <w:rsid w:val="3AFF346E"/>
    <w:rsid w:val="3B045A0A"/>
    <w:rsid w:val="3B6922D5"/>
    <w:rsid w:val="3BA507B1"/>
    <w:rsid w:val="3C035857"/>
    <w:rsid w:val="3C221C81"/>
    <w:rsid w:val="3C291313"/>
    <w:rsid w:val="3CA01523"/>
    <w:rsid w:val="3CAB0364"/>
    <w:rsid w:val="3CBB6C30"/>
    <w:rsid w:val="3D98044D"/>
    <w:rsid w:val="3DB15F42"/>
    <w:rsid w:val="3DDA4089"/>
    <w:rsid w:val="3DFA1107"/>
    <w:rsid w:val="3E151B31"/>
    <w:rsid w:val="3E2F57D6"/>
    <w:rsid w:val="3E324A0A"/>
    <w:rsid w:val="3E5D2F2F"/>
    <w:rsid w:val="3E69009E"/>
    <w:rsid w:val="3E8E2733"/>
    <w:rsid w:val="3EA92FC7"/>
    <w:rsid w:val="3EBA2645"/>
    <w:rsid w:val="3ECC05DE"/>
    <w:rsid w:val="3F024E9A"/>
    <w:rsid w:val="3F38781A"/>
    <w:rsid w:val="3F7A5F57"/>
    <w:rsid w:val="3FD9190E"/>
    <w:rsid w:val="3FF948E5"/>
    <w:rsid w:val="40214084"/>
    <w:rsid w:val="40967D84"/>
    <w:rsid w:val="409A12D2"/>
    <w:rsid w:val="40F65292"/>
    <w:rsid w:val="40FD375C"/>
    <w:rsid w:val="411B0E77"/>
    <w:rsid w:val="41554B20"/>
    <w:rsid w:val="419B675D"/>
    <w:rsid w:val="41B10C5F"/>
    <w:rsid w:val="41C44089"/>
    <w:rsid w:val="41D97952"/>
    <w:rsid w:val="423B508F"/>
    <w:rsid w:val="425744CF"/>
    <w:rsid w:val="42857177"/>
    <w:rsid w:val="42BA638F"/>
    <w:rsid w:val="42CD3530"/>
    <w:rsid w:val="42EF4CF2"/>
    <w:rsid w:val="431449CD"/>
    <w:rsid w:val="43364990"/>
    <w:rsid w:val="43735EF2"/>
    <w:rsid w:val="439711A6"/>
    <w:rsid w:val="442849F5"/>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594C7C"/>
    <w:rsid w:val="48694386"/>
    <w:rsid w:val="48917D88"/>
    <w:rsid w:val="48B82CB2"/>
    <w:rsid w:val="48D64D68"/>
    <w:rsid w:val="490B392E"/>
    <w:rsid w:val="49117305"/>
    <w:rsid w:val="49377564"/>
    <w:rsid w:val="495A2EA7"/>
    <w:rsid w:val="49677981"/>
    <w:rsid w:val="49690EEF"/>
    <w:rsid w:val="49696DFB"/>
    <w:rsid w:val="498B5309"/>
    <w:rsid w:val="49926698"/>
    <w:rsid w:val="49941F85"/>
    <w:rsid w:val="49B819E2"/>
    <w:rsid w:val="49FD0ECB"/>
    <w:rsid w:val="4A0C16A9"/>
    <w:rsid w:val="4A1414DB"/>
    <w:rsid w:val="4A2B31BB"/>
    <w:rsid w:val="4A3F215D"/>
    <w:rsid w:val="4A8B4A7A"/>
    <w:rsid w:val="4A924CD5"/>
    <w:rsid w:val="4A9401EE"/>
    <w:rsid w:val="4A9D7E04"/>
    <w:rsid w:val="4AC24D5B"/>
    <w:rsid w:val="4B51066C"/>
    <w:rsid w:val="4B647976"/>
    <w:rsid w:val="4B687CB4"/>
    <w:rsid w:val="4B911A94"/>
    <w:rsid w:val="4BF50A94"/>
    <w:rsid w:val="4C455F29"/>
    <w:rsid w:val="4C5C0DDA"/>
    <w:rsid w:val="4C790713"/>
    <w:rsid w:val="4CAF130F"/>
    <w:rsid w:val="4CD121B7"/>
    <w:rsid w:val="4CD6481C"/>
    <w:rsid w:val="4D0B5434"/>
    <w:rsid w:val="4D237851"/>
    <w:rsid w:val="4D4B0259"/>
    <w:rsid w:val="4D4B54DB"/>
    <w:rsid w:val="4D534466"/>
    <w:rsid w:val="4D650B7E"/>
    <w:rsid w:val="4D7273AC"/>
    <w:rsid w:val="4D796C37"/>
    <w:rsid w:val="4D986FCA"/>
    <w:rsid w:val="4DC17938"/>
    <w:rsid w:val="4E016C1B"/>
    <w:rsid w:val="4E2A3343"/>
    <w:rsid w:val="4E3A1DCD"/>
    <w:rsid w:val="4E8C1A1E"/>
    <w:rsid w:val="4EAA786E"/>
    <w:rsid w:val="4EB86DD0"/>
    <w:rsid w:val="4EC72940"/>
    <w:rsid w:val="4EDF2B2C"/>
    <w:rsid w:val="4EFC7675"/>
    <w:rsid w:val="4F0771E0"/>
    <w:rsid w:val="4F136093"/>
    <w:rsid w:val="4F136DBB"/>
    <w:rsid w:val="4F3F2E1E"/>
    <w:rsid w:val="4F675ED1"/>
    <w:rsid w:val="4F894B2F"/>
    <w:rsid w:val="4F8A5691"/>
    <w:rsid w:val="4FA36738"/>
    <w:rsid w:val="4FAC7673"/>
    <w:rsid w:val="4FB42BA4"/>
    <w:rsid w:val="4FCC5976"/>
    <w:rsid w:val="4FD104D5"/>
    <w:rsid w:val="4FE92D8A"/>
    <w:rsid w:val="50234EE5"/>
    <w:rsid w:val="50327987"/>
    <w:rsid w:val="503D1867"/>
    <w:rsid w:val="50E0518E"/>
    <w:rsid w:val="50EE3D38"/>
    <w:rsid w:val="51120CF7"/>
    <w:rsid w:val="519A28F0"/>
    <w:rsid w:val="519C6593"/>
    <w:rsid w:val="51AD1A71"/>
    <w:rsid w:val="51C92E73"/>
    <w:rsid w:val="51DF25F2"/>
    <w:rsid w:val="51F15593"/>
    <w:rsid w:val="51F823A1"/>
    <w:rsid w:val="52554335"/>
    <w:rsid w:val="525919E4"/>
    <w:rsid w:val="527D7680"/>
    <w:rsid w:val="52B31610"/>
    <w:rsid w:val="52B9562D"/>
    <w:rsid w:val="52D05C9E"/>
    <w:rsid w:val="52E87329"/>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310FE7"/>
    <w:rsid w:val="564577AB"/>
    <w:rsid w:val="56B23ED5"/>
    <w:rsid w:val="56DA58DC"/>
    <w:rsid w:val="56F75715"/>
    <w:rsid w:val="56FA4DB3"/>
    <w:rsid w:val="574E25BD"/>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1C7D2C"/>
    <w:rsid w:val="59254C06"/>
    <w:rsid w:val="5972035B"/>
    <w:rsid w:val="598F49A2"/>
    <w:rsid w:val="59D2663D"/>
    <w:rsid w:val="59FF6B39"/>
    <w:rsid w:val="5A03573C"/>
    <w:rsid w:val="5A660D4E"/>
    <w:rsid w:val="5A817B0D"/>
    <w:rsid w:val="5A8262B5"/>
    <w:rsid w:val="5AA24261"/>
    <w:rsid w:val="5AAB323C"/>
    <w:rsid w:val="5B3809A4"/>
    <w:rsid w:val="5B4B2B4A"/>
    <w:rsid w:val="5B661D3E"/>
    <w:rsid w:val="5C084ED5"/>
    <w:rsid w:val="5C150452"/>
    <w:rsid w:val="5C1949F7"/>
    <w:rsid w:val="5C24022B"/>
    <w:rsid w:val="5C963A8A"/>
    <w:rsid w:val="5CBD4422"/>
    <w:rsid w:val="5CE60BF5"/>
    <w:rsid w:val="5CEC1BA3"/>
    <w:rsid w:val="5CFA64BB"/>
    <w:rsid w:val="5D0D60EB"/>
    <w:rsid w:val="5D4A3EFC"/>
    <w:rsid w:val="5D4A502D"/>
    <w:rsid w:val="5D4E769C"/>
    <w:rsid w:val="5DD54E8B"/>
    <w:rsid w:val="5DEB2B8A"/>
    <w:rsid w:val="5DF9473C"/>
    <w:rsid w:val="5E0043EB"/>
    <w:rsid w:val="5E6463FD"/>
    <w:rsid w:val="5E6801F6"/>
    <w:rsid w:val="5E8D55E7"/>
    <w:rsid w:val="5EC40C4A"/>
    <w:rsid w:val="5EE04DFC"/>
    <w:rsid w:val="5EFC35C0"/>
    <w:rsid w:val="5F25283E"/>
    <w:rsid w:val="5F443548"/>
    <w:rsid w:val="5F4A2384"/>
    <w:rsid w:val="5FA32F55"/>
    <w:rsid w:val="5FD537AD"/>
    <w:rsid w:val="5FE82E15"/>
    <w:rsid w:val="60197873"/>
    <w:rsid w:val="602142B3"/>
    <w:rsid w:val="603658A5"/>
    <w:rsid w:val="607B3293"/>
    <w:rsid w:val="608C47AD"/>
    <w:rsid w:val="60D55DC9"/>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09385A"/>
    <w:rsid w:val="65190998"/>
    <w:rsid w:val="6530528B"/>
    <w:rsid w:val="654815BA"/>
    <w:rsid w:val="655346F0"/>
    <w:rsid w:val="6554084E"/>
    <w:rsid w:val="655F4A2A"/>
    <w:rsid w:val="6581707A"/>
    <w:rsid w:val="65D81772"/>
    <w:rsid w:val="66150F73"/>
    <w:rsid w:val="66173D55"/>
    <w:rsid w:val="661E4002"/>
    <w:rsid w:val="663B3B08"/>
    <w:rsid w:val="664A412A"/>
    <w:rsid w:val="66692CE9"/>
    <w:rsid w:val="66B477F6"/>
    <w:rsid w:val="66C231EB"/>
    <w:rsid w:val="66D962DF"/>
    <w:rsid w:val="672410C5"/>
    <w:rsid w:val="673B1C5F"/>
    <w:rsid w:val="67993DA7"/>
    <w:rsid w:val="67A05FCC"/>
    <w:rsid w:val="67B53825"/>
    <w:rsid w:val="67BE4817"/>
    <w:rsid w:val="67D45B16"/>
    <w:rsid w:val="68792AA5"/>
    <w:rsid w:val="68DF7CB3"/>
    <w:rsid w:val="68E343C2"/>
    <w:rsid w:val="68E36170"/>
    <w:rsid w:val="69077DF7"/>
    <w:rsid w:val="690A7BA1"/>
    <w:rsid w:val="691E158F"/>
    <w:rsid w:val="692C5600"/>
    <w:rsid w:val="698C1F88"/>
    <w:rsid w:val="699E1BC4"/>
    <w:rsid w:val="69A578CA"/>
    <w:rsid w:val="69B36B93"/>
    <w:rsid w:val="69D15910"/>
    <w:rsid w:val="69F43E42"/>
    <w:rsid w:val="6A42100A"/>
    <w:rsid w:val="6A46782D"/>
    <w:rsid w:val="6A5A270D"/>
    <w:rsid w:val="6A6570A7"/>
    <w:rsid w:val="6AD16E19"/>
    <w:rsid w:val="6AD71EB7"/>
    <w:rsid w:val="6ADC1F8C"/>
    <w:rsid w:val="6B2356CB"/>
    <w:rsid w:val="6B4560F1"/>
    <w:rsid w:val="6BA62041"/>
    <w:rsid w:val="6BAD57CD"/>
    <w:rsid w:val="6BC7049F"/>
    <w:rsid w:val="6BD67D9C"/>
    <w:rsid w:val="6C0F3245"/>
    <w:rsid w:val="6C3E6C02"/>
    <w:rsid w:val="6C5221D1"/>
    <w:rsid w:val="6C601B62"/>
    <w:rsid w:val="6C92548F"/>
    <w:rsid w:val="6C955D99"/>
    <w:rsid w:val="6CAE1BE4"/>
    <w:rsid w:val="6CDB3535"/>
    <w:rsid w:val="6CFC3CA5"/>
    <w:rsid w:val="6D0B038C"/>
    <w:rsid w:val="6D30236E"/>
    <w:rsid w:val="6D535020"/>
    <w:rsid w:val="6D8048D6"/>
    <w:rsid w:val="6D976CB9"/>
    <w:rsid w:val="6DB72303"/>
    <w:rsid w:val="6DCA78FF"/>
    <w:rsid w:val="6E0E1EE1"/>
    <w:rsid w:val="6E241040"/>
    <w:rsid w:val="6E7A0843"/>
    <w:rsid w:val="6E932525"/>
    <w:rsid w:val="6EC4352D"/>
    <w:rsid w:val="6EE52005"/>
    <w:rsid w:val="6F266D36"/>
    <w:rsid w:val="6F321C00"/>
    <w:rsid w:val="6F6F4ADE"/>
    <w:rsid w:val="6F8B0BCB"/>
    <w:rsid w:val="6F996FEA"/>
    <w:rsid w:val="70404269"/>
    <w:rsid w:val="706E420D"/>
    <w:rsid w:val="70781894"/>
    <w:rsid w:val="70EC6D02"/>
    <w:rsid w:val="70F51845"/>
    <w:rsid w:val="71310C75"/>
    <w:rsid w:val="714B41D5"/>
    <w:rsid w:val="71627FFF"/>
    <w:rsid w:val="71C063CB"/>
    <w:rsid w:val="71FD793A"/>
    <w:rsid w:val="725620A9"/>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2F4068"/>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074A9"/>
    <w:rsid w:val="787C51E8"/>
    <w:rsid w:val="78B51C47"/>
    <w:rsid w:val="790D34AE"/>
    <w:rsid w:val="791F2B98"/>
    <w:rsid w:val="79604890"/>
    <w:rsid w:val="797D1438"/>
    <w:rsid w:val="79A24A66"/>
    <w:rsid w:val="7A005697"/>
    <w:rsid w:val="7A1F14FA"/>
    <w:rsid w:val="7A4D5B40"/>
    <w:rsid w:val="7A684F59"/>
    <w:rsid w:val="7A7418D6"/>
    <w:rsid w:val="7A814CA3"/>
    <w:rsid w:val="7A871A03"/>
    <w:rsid w:val="7AA3086F"/>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5B48F3"/>
    <w:rsid w:val="7E66453C"/>
    <w:rsid w:val="7E732C57"/>
    <w:rsid w:val="7EC976D5"/>
    <w:rsid w:val="7F1E0EC5"/>
    <w:rsid w:val="7F6F592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Normal Indent"/>
    <w:basedOn w:val="1"/>
    <w:qFormat/>
    <w:uiPriority w:val="0"/>
    <w:pPr>
      <w:ind w:firstLine="420" w:firstLineChars="200"/>
    </w:pPr>
  </w:style>
  <w:style w:type="paragraph" w:styleId="8">
    <w:name w:val="annotation text"/>
    <w:basedOn w:val="1"/>
    <w:qFormat/>
    <w:uiPriority w:val="99"/>
    <w:pPr>
      <w:jc w:val="left"/>
    </w:pPr>
    <w:rPr>
      <w:kern w:val="0"/>
    </w:rPr>
  </w:style>
  <w:style w:type="paragraph" w:styleId="9">
    <w:name w:val="Body Text"/>
    <w:basedOn w:val="1"/>
    <w:next w:val="1"/>
    <w:qFormat/>
    <w:uiPriority w:val="99"/>
    <w:pPr>
      <w:spacing w:after="120"/>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9"/>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36</Pages>
  <Words>11290</Words>
  <Characters>12202</Characters>
  <Lines>190</Lines>
  <Paragraphs>53</Paragraphs>
  <TotalTime>65</TotalTime>
  <ScaleCrop>false</ScaleCrop>
  <LinksUpToDate>false</LinksUpToDate>
  <CharactersWithSpaces>13822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2026-03-11T08:35:00Z</cp:lastPrinted>
  <dcterms:modified xsi:type="dcterms:W3CDTF">2026-03-30T06:22:11Z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826FAF63DFB8438EB27F862537F96F9B_13</vt:lpwstr>
  </property>
  <property fmtid="{D5CDD505-2E9C-101B-9397-08002B2CF9AE}" pid="4" name="KSOTemplateDocerSaveRecord">
    <vt:lpwstr>eyJoZGlkIjoiYmExYTM2ZmQzZmRlZGIyMzE1ODBjOTAyMTRjODkyY2IiLCJ1c2VySWQiOiIzMjk0NDc0NjkifQ==</vt:lpwstr>
  </property>
</Properties>
</file>