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DE9F5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生米镇铁路村拆迁安置房项目电力外线工程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监理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招标控制价</w:t>
      </w:r>
    </w:p>
    <w:p w14:paraId="33AED075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2AC3CD48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南昌市红谷滩区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生米镇铁路村拆迁安置房项目电力外线工程</w:t>
      </w:r>
      <w:r>
        <w:rPr>
          <w:rFonts w:hint="eastAsia" w:ascii="仿宋" w:hAnsi="仿宋" w:eastAsia="仿宋" w:cs="仿宋"/>
          <w:sz w:val="32"/>
          <w:szCs w:val="32"/>
        </w:rPr>
        <w:t>需采购工程监理服务。</w:t>
      </w:r>
    </w:p>
    <w:p w14:paraId="785483B1"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依据洪新工发【2013】3号文，监理费根据投资额大小，费率控制在0.7%一1.055%之间，根据本项目投资额、项目特征、结合市场行情，建议按0.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%作为控制价，该项目费用清单如下：</w:t>
      </w:r>
    </w:p>
    <w:tbl>
      <w:tblPr>
        <w:tblStyle w:val="4"/>
        <w:tblW w:w="8318" w:type="dxa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014"/>
        <w:gridCol w:w="1868"/>
        <w:gridCol w:w="1531"/>
        <w:gridCol w:w="1867"/>
      </w:tblGrid>
      <w:tr w14:paraId="4ADB5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24487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7A90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070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58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项目名称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32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计费基数（元）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0E1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费率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27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</w:tr>
      <w:tr w14:paraId="63B3A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998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9DF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工程监理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5D7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44000000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C1E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F80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308000</w:t>
            </w:r>
          </w:p>
        </w:tc>
      </w:tr>
      <w:tr w14:paraId="45ADE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23D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168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费 用 合 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91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308000</w:t>
            </w:r>
          </w:p>
        </w:tc>
      </w:tr>
      <w:tr w14:paraId="52E0A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2776F">
            <w:pPr>
              <w:ind w:left="720" w:hanging="720" w:hangingChars="3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Fonts w:hint="eastAsia" w:ascii="仿宋" w:hAnsi="仿宋" w:eastAsia="仿宋" w:cs="仿宋"/>
                <w:sz w:val="24"/>
              </w:rPr>
              <w:t>1.本项目计费基数为暂估建安费，最终结算按竣工结算审定后的建安费为计费基数计算。</w:t>
            </w:r>
          </w:p>
          <w:p w14:paraId="5D22D58B">
            <w:pPr>
              <w:ind w:left="720" w:hanging="720" w:hangingChars="3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施工单位报送的结算由监理方负责初审，如最终审减超过10%需承担30%审计费。</w:t>
            </w:r>
          </w:p>
          <w:p w14:paraId="4D4961E7">
            <w:pPr>
              <w:ind w:left="719" w:leftChars="228" w:hanging="240" w:hangingChars="1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FB1D1E2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建议该项目工程监理费用招标控制价为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308000</w:t>
      </w:r>
      <w:r>
        <w:rPr>
          <w:rFonts w:hint="eastAsia" w:ascii="仿宋" w:hAnsi="仿宋" w:eastAsia="仿宋" w:cs="仿宋"/>
          <w:sz w:val="32"/>
          <w:szCs w:val="32"/>
        </w:rPr>
        <w:t xml:space="preserve">元整。   </w:t>
      </w:r>
    </w:p>
    <w:p w14:paraId="5A97DBD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D538CBF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70F59D7E">
      <w:pPr>
        <w:wordWrap w:val="0"/>
        <w:spacing w:line="56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成本控制部   </w:t>
      </w:r>
    </w:p>
    <w:p w14:paraId="22E54F99">
      <w:pPr>
        <w:spacing w:line="560" w:lineRule="exact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2026年1月20日</w:t>
      </w:r>
    </w:p>
    <w:p w14:paraId="2AC09ED1">
      <w:pPr>
        <w:spacing w:line="56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31227A5"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BBE0108-5DCE-4D1B-A23B-96F001141C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MmI3YTEyMWRhMWJiYzY5MjU3MGMxNTdhNGQ2NmEifQ=="/>
  </w:docVars>
  <w:rsids>
    <w:rsidRoot w:val="21504570"/>
    <w:rsid w:val="000D1756"/>
    <w:rsid w:val="00100B40"/>
    <w:rsid w:val="001355BA"/>
    <w:rsid w:val="00720404"/>
    <w:rsid w:val="007B63A9"/>
    <w:rsid w:val="007D6E32"/>
    <w:rsid w:val="007E6FD4"/>
    <w:rsid w:val="00B53C52"/>
    <w:rsid w:val="00FB08DB"/>
    <w:rsid w:val="021D7344"/>
    <w:rsid w:val="035C1E6C"/>
    <w:rsid w:val="04042433"/>
    <w:rsid w:val="04234A61"/>
    <w:rsid w:val="05EA0BBE"/>
    <w:rsid w:val="06C62F02"/>
    <w:rsid w:val="080B289C"/>
    <w:rsid w:val="08295079"/>
    <w:rsid w:val="090C1A37"/>
    <w:rsid w:val="09AD488A"/>
    <w:rsid w:val="0A3F0240"/>
    <w:rsid w:val="0DA030C6"/>
    <w:rsid w:val="0DEA5901"/>
    <w:rsid w:val="0F6F2476"/>
    <w:rsid w:val="115C4E16"/>
    <w:rsid w:val="16F14001"/>
    <w:rsid w:val="180D7536"/>
    <w:rsid w:val="1A5A16E4"/>
    <w:rsid w:val="1AB47B3C"/>
    <w:rsid w:val="1B105882"/>
    <w:rsid w:val="1B4A604C"/>
    <w:rsid w:val="1BDF0217"/>
    <w:rsid w:val="1C2C1048"/>
    <w:rsid w:val="1FA3721F"/>
    <w:rsid w:val="1FE268D3"/>
    <w:rsid w:val="2092154E"/>
    <w:rsid w:val="20EE3EE9"/>
    <w:rsid w:val="20F23E74"/>
    <w:rsid w:val="21504570"/>
    <w:rsid w:val="224A54F2"/>
    <w:rsid w:val="239D6085"/>
    <w:rsid w:val="23B7196E"/>
    <w:rsid w:val="25436395"/>
    <w:rsid w:val="261F0670"/>
    <w:rsid w:val="26CB37E1"/>
    <w:rsid w:val="2743233C"/>
    <w:rsid w:val="28E33AD0"/>
    <w:rsid w:val="28FA132C"/>
    <w:rsid w:val="2AFA0904"/>
    <w:rsid w:val="2DB41D89"/>
    <w:rsid w:val="2E850F69"/>
    <w:rsid w:val="2ED62524"/>
    <w:rsid w:val="2F217F53"/>
    <w:rsid w:val="30984FDA"/>
    <w:rsid w:val="325A66F4"/>
    <w:rsid w:val="32F075C6"/>
    <w:rsid w:val="331B66B1"/>
    <w:rsid w:val="34AB5213"/>
    <w:rsid w:val="34F40EC9"/>
    <w:rsid w:val="353E3773"/>
    <w:rsid w:val="354F5D43"/>
    <w:rsid w:val="35BA3218"/>
    <w:rsid w:val="36A73113"/>
    <w:rsid w:val="39005BF5"/>
    <w:rsid w:val="3DF25AEC"/>
    <w:rsid w:val="401C0B8D"/>
    <w:rsid w:val="408151D9"/>
    <w:rsid w:val="41CC31BF"/>
    <w:rsid w:val="446D40AC"/>
    <w:rsid w:val="45397EBC"/>
    <w:rsid w:val="459D5796"/>
    <w:rsid w:val="464D1D6E"/>
    <w:rsid w:val="47836D5B"/>
    <w:rsid w:val="49380C1A"/>
    <w:rsid w:val="497E40D9"/>
    <w:rsid w:val="4A0E1806"/>
    <w:rsid w:val="4EA03774"/>
    <w:rsid w:val="505E1A1F"/>
    <w:rsid w:val="50945AF6"/>
    <w:rsid w:val="50C731DD"/>
    <w:rsid w:val="520A34B2"/>
    <w:rsid w:val="52C548C6"/>
    <w:rsid w:val="53515241"/>
    <w:rsid w:val="547370C6"/>
    <w:rsid w:val="56713972"/>
    <w:rsid w:val="57273175"/>
    <w:rsid w:val="57F765E8"/>
    <w:rsid w:val="583B0CE2"/>
    <w:rsid w:val="58AF643D"/>
    <w:rsid w:val="59160ADE"/>
    <w:rsid w:val="59D46DFC"/>
    <w:rsid w:val="5C0B525A"/>
    <w:rsid w:val="5C310A7A"/>
    <w:rsid w:val="5CA64BDB"/>
    <w:rsid w:val="5CA93ABF"/>
    <w:rsid w:val="5CEB6502"/>
    <w:rsid w:val="5DF633AF"/>
    <w:rsid w:val="6030556F"/>
    <w:rsid w:val="64393C7E"/>
    <w:rsid w:val="64547E23"/>
    <w:rsid w:val="66181096"/>
    <w:rsid w:val="674730CB"/>
    <w:rsid w:val="697F1B6A"/>
    <w:rsid w:val="6BA9149C"/>
    <w:rsid w:val="6C537470"/>
    <w:rsid w:val="6D6E7501"/>
    <w:rsid w:val="6E7F4B8D"/>
    <w:rsid w:val="6ED321B7"/>
    <w:rsid w:val="6EFC3DF9"/>
    <w:rsid w:val="71386883"/>
    <w:rsid w:val="714037CB"/>
    <w:rsid w:val="72275320"/>
    <w:rsid w:val="722F42E9"/>
    <w:rsid w:val="72914909"/>
    <w:rsid w:val="72C62147"/>
    <w:rsid w:val="73AC5847"/>
    <w:rsid w:val="75B87BCD"/>
    <w:rsid w:val="794C05C7"/>
    <w:rsid w:val="79670ED1"/>
    <w:rsid w:val="7CB45FA1"/>
    <w:rsid w:val="7E9D68BD"/>
    <w:rsid w:val="7FF94D75"/>
    <w:rsid w:val="7FFB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11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1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31"/>
    <w:basedOn w:val="5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331</Characters>
  <Lines>3</Lines>
  <Paragraphs>1</Paragraphs>
  <TotalTime>3</TotalTime>
  <ScaleCrop>false</ScaleCrop>
  <LinksUpToDate>false</LinksUpToDate>
  <CharactersWithSpaces>346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2021-01-20T03:48:00Z</dcterms:created>
  <dc:creator>Administrator</dc:creator>
  <cp:lastModifiedBy>核武</cp:lastModifiedBy>
  <cp:lastPrinted>2025-12-25T06:34:00Z</cp:lastPrinted>
  <dcterms:modified xsi:type="dcterms:W3CDTF">2026-01-20T02:48:07Z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57191A5D0ADE4CD8B9F3087112C98FFE_13</vt:lpwstr>
  </property>
  <property fmtid="{D5CDD505-2E9C-101B-9397-08002B2CF9AE}" pid="4" name="KSOTemplateDocerSaveRecord">
    <vt:lpwstr>eyJoZGlkIjoiODU1ZGNjNjRiYjY3NzgzMTczMzk1Njc5ZmZjMDFlOGYiLCJ1c2VySWQiOiIxMTAyNzQ2ODMyIn0=</vt:lpwstr>
  </property>
</Properties>
</file>