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55A1B">
      <w:pPr>
        <w:keepNext w:val="0"/>
        <w:keepLines w:val="0"/>
        <w:pageBreakBefore w:val="0"/>
        <w:widowControl w:val="0"/>
        <w:kinsoku/>
        <w:wordWrap/>
        <w:overflowPunct/>
        <w:topLinePunct w:val="0"/>
        <w:autoSpaceDE/>
        <w:autoSpaceDN/>
        <w:bidi w:val="0"/>
        <w:adjustRightInd/>
        <w:snapToGrid/>
        <w:spacing w:line="1000" w:lineRule="exact"/>
        <w:ind w:left="0" w:firstLine="0"/>
        <w:jc w:val="both"/>
        <w:textAlignment w:val="auto"/>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lang w:eastAsia="zh-CN"/>
        </w:rPr>
        <w:t>红谷滩区现代服务产业园能耗监测系统技术服务（第二次）</w:t>
      </w:r>
    </w:p>
    <w:p w14:paraId="1ED86626">
      <w:pPr>
        <w:spacing w:line="1000" w:lineRule="exact"/>
        <w:ind w:left="2835" w:hanging="2415"/>
        <w:jc w:val="center"/>
        <w:rPr>
          <w:rFonts w:hint="eastAsia" w:ascii="微软雅黑" w:hAnsi="微软雅黑" w:eastAsia="微软雅黑"/>
          <w:b/>
          <w:color w:val="auto"/>
          <w:sz w:val="36"/>
          <w:szCs w:val="36"/>
          <w:highlight w:val="none"/>
        </w:rPr>
      </w:pPr>
      <w:r>
        <w:rPr>
          <w:rFonts w:hint="eastAsia" w:ascii="微软雅黑" w:hAnsi="微软雅黑" w:eastAsia="微软雅黑"/>
          <w:b/>
          <w:color w:val="auto"/>
          <w:sz w:val="36"/>
          <w:szCs w:val="36"/>
          <w:highlight w:val="none"/>
        </w:rPr>
        <w:t>【采购编号：</w:t>
      </w:r>
      <w:r>
        <w:rPr>
          <w:rFonts w:hint="eastAsia" w:ascii="微软雅黑" w:hAnsi="微软雅黑" w:eastAsia="微软雅黑"/>
          <w:b/>
          <w:color w:val="auto"/>
          <w:sz w:val="36"/>
          <w:szCs w:val="36"/>
          <w:highlight w:val="none"/>
          <w:lang w:eastAsia="zh-CN"/>
        </w:rPr>
        <w:t>NCCH2026-B0404-1</w:t>
      </w:r>
      <w:r>
        <w:rPr>
          <w:rFonts w:hint="eastAsia" w:ascii="微软雅黑" w:hAnsi="微软雅黑" w:eastAsia="微软雅黑"/>
          <w:b/>
          <w:color w:val="auto"/>
          <w:sz w:val="36"/>
          <w:szCs w:val="36"/>
          <w:highlight w:val="none"/>
        </w:rPr>
        <w:t>】</w:t>
      </w:r>
    </w:p>
    <w:p w14:paraId="4896800F">
      <w:pPr>
        <w:spacing w:line="1000" w:lineRule="exact"/>
        <w:rPr>
          <w:rFonts w:ascii="微软雅黑" w:hAnsi="微软雅黑" w:eastAsia="微软雅黑"/>
          <w:b/>
          <w:bCs/>
          <w:color w:val="auto"/>
          <w:sz w:val="90"/>
          <w:szCs w:val="90"/>
          <w:highlight w:val="none"/>
        </w:rPr>
      </w:pPr>
    </w:p>
    <w:p w14:paraId="125096D7">
      <w:pPr>
        <w:spacing w:line="1000" w:lineRule="exact"/>
        <w:rPr>
          <w:rFonts w:ascii="微软雅黑" w:hAnsi="微软雅黑" w:eastAsia="微软雅黑"/>
          <w:b/>
          <w:bCs/>
          <w:color w:val="auto"/>
          <w:sz w:val="90"/>
          <w:szCs w:val="90"/>
          <w:highlight w:val="none"/>
        </w:rPr>
      </w:pPr>
    </w:p>
    <w:p w14:paraId="174E39D9">
      <w:pPr>
        <w:jc w:val="center"/>
        <w:rPr>
          <w:rFonts w:hint="eastAsia" w:ascii="宋体" w:hAnsi="宋体"/>
          <w:b/>
          <w:color w:val="auto"/>
          <w:sz w:val="100"/>
          <w:szCs w:val="100"/>
          <w:highlight w:val="none"/>
        </w:rPr>
      </w:pPr>
    </w:p>
    <w:p w14:paraId="2125A835">
      <w:pPr>
        <w:jc w:val="center"/>
        <w:rPr>
          <w:rFonts w:ascii="宋体" w:hAnsi="宋体"/>
          <w:b/>
          <w:color w:val="auto"/>
          <w:sz w:val="100"/>
          <w:szCs w:val="100"/>
          <w:highlight w:val="none"/>
        </w:rPr>
      </w:pPr>
      <w:r>
        <w:rPr>
          <w:rFonts w:hint="eastAsia" w:ascii="宋体" w:hAnsi="宋体"/>
          <w:b/>
          <w:color w:val="auto"/>
          <w:sz w:val="100"/>
          <w:szCs w:val="100"/>
          <w:highlight w:val="none"/>
        </w:rPr>
        <w:t>比选文件</w:t>
      </w:r>
    </w:p>
    <w:p w14:paraId="2E8D2E16">
      <w:pPr>
        <w:tabs>
          <w:tab w:val="left" w:pos="825"/>
          <w:tab w:val="center" w:pos="4426"/>
        </w:tabs>
        <w:spacing w:line="480" w:lineRule="auto"/>
        <w:jc w:val="left"/>
        <w:rPr>
          <w:rFonts w:ascii="微软雅黑" w:hAnsi="微软雅黑" w:eastAsia="微软雅黑"/>
          <w:b/>
          <w:color w:val="auto"/>
          <w:sz w:val="36"/>
          <w:highlight w:val="none"/>
        </w:rPr>
      </w:pPr>
    </w:p>
    <w:p w14:paraId="504B001E">
      <w:pPr>
        <w:tabs>
          <w:tab w:val="left" w:pos="825"/>
          <w:tab w:val="center" w:pos="4426"/>
        </w:tabs>
        <w:spacing w:line="480" w:lineRule="auto"/>
        <w:jc w:val="left"/>
        <w:rPr>
          <w:rFonts w:ascii="微软雅黑" w:hAnsi="微软雅黑" w:eastAsia="微软雅黑"/>
          <w:b/>
          <w:color w:val="auto"/>
          <w:sz w:val="36"/>
          <w:highlight w:val="none"/>
        </w:rPr>
      </w:pPr>
    </w:p>
    <w:p w14:paraId="576D8B47">
      <w:pPr>
        <w:tabs>
          <w:tab w:val="left" w:pos="825"/>
          <w:tab w:val="center" w:pos="4426"/>
        </w:tabs>
        <w:spacing w:line="480" w:lineRule="auto"/>
        <w:jc w:val="left"/>
        <w:rPr>
          <w:rFonts w:ascii="微软雅黑" w:hAnsi="微软雅黑" w:eastAsia="微软雅黑"/>
          <w:b/>
          <w:color w:val="auto"/>
          <w:sz w:val="36"/>
          <w:highlight w:val="none"/>
        </w:rPr>
      </w:pPr>
    </w:p>
    <w:p w14:paraId="1679E68D">
      <w:pPr>
        <w:pStyle w:val="3"/>
        <w:rPr>
          <w:color w:val="auto"/>
          <w:highlight w:val="none"/>
        </w:rPr>
      </w:pPr>
    </w:p>
    <w:p w14:paraId="3F9D2795">
      <w:pPr>
        <w:tabs>
          <w:tab w:val="left" w:pos="0"/>
          <w:tab w:val="left" w:pos="1276"/>
        </w:tabs>
        <w:spacing w:line="600" w:lineRule="exact"/>
        <w:rPr>
          <w:rFonts w:hint="eastAsia" w:ascii="微软雅黑" w:hAnsi="微软雅黑" w:eastAsia="微软雅黑" w:cs="黑体"/>
          <w:b/>
          <w:bCs/>
          <w:color w:val="auto"/>
          <w:spacing w:val="1920"/>
          <w:kern w:val="0"/>
          <w:sz w:val="32"/>
          <w:szCs w:val="32"/>
          <w:highlight w:val="none"/>
          <w:fitText w:val="2240" w:id="0"/>
        </w:rPr>
      </w:pPr>
    </w:p>
    <w:p w14:paraId="53701DD0">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rPr>
        <w:t>采购人：</w:t>
      </w:r>
      <w:r>
        <w:rPr>
          <w:rFonts w:hint="eastAsia" w:ascii="微软雅黑" w:hAnsi="微软雅黑" w:eastAsia="微软雅黑"/>
          <w:b/>
          <w:color w:val="auto"/>
          <w:sz w:val="36"/>
          <w:szCs w:val="36"/>
          <w:highlight w:val="none"/>
          <w:lang w:eastAsia="zh-CN"/>
        </w:rPr>
        <w:t>南昌红鼎文化产业运营有限公司</w:t>
      </w:r>
    </w:p>
    <w:p w14:paraId="76632341">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rPr>
        <w:t>采购代理机构：</w:t>
      </w:r>
      <w:r>
        <w:rPr>
          <w:rFonts w:hint="eastAsia" w:ascii="微软雅黑" w:hAnsi="微软雅黑" w:eastAsia="微软雅黑"/>
          <w:b/>
          <w:color w:val="auto"/>
          <w:sz w:val="36"/>
          <w:szCs w:val="36"/>
          <w:highlight w:val="none"/>
          <w:lang w:eastAsia="zh-CN"/>
        </w:rPr>
        <w:t>南昌市晨晖招投标咨询服务有限公司</w:t>
      </w:r>
    </w:p>
    <w:p w14:paraId="53645D99">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lang w:eastAsia="zh-CN"/>
        </w:rPr>
        <w:t>二〇二</w:t>
      </w:r>
      <w:r>
        <w:rPr>
          <w:rFonts w:hint="eastAsia" w:ascii="微软雅黑" w:hAnsi="微软雅黑" w:eastAsia="微软雅黑"/>
          <w:b/>
          <w:color w:val="auto"/>
          <w:sz w:val="36"/>
          <w:szCs w:val="36"/>
          <w:highlight w:val="none"/>
          <w:lang w:val="en-US" w:eastAsia="zh-CN"/>
        </w:rPr>
        <w:t>六</w:t>
      </w:r>
      <w:r>
        <w:rPr>
          <w:rFonts w:hint="eastAsia" w:ascii="微软雅黑" w:hAnsi="微软雅黑" w:eastAsia="微软雅黑"/>
          <w:b/>
          <w:color w:val="auto"/>
          <w:sz w:val="36"/>
          <w:szCs w:val="36"/>
          <w:highlight w:val="none"/>
          <w:lang w:eastAsia="zh-CN"/>
        </w:rPr>
        <w:t>年</w:t>
      </w:r>
      <w:r>
        <w:rPr>
          <w:rFonts w:hint="eastAsia" w:ascii="微软雅黑" w:hAnsi="微软雅黑" w:eastAsia="微软雅黑"/>
          <w:b/>
          <w:color w:val="auto"/>
          <w:sz w:val="36"/>
          <w:szCs w:val="36"/>
          <w:highlight w:val="none"/>
          <w:lang w:val="en-US" w:eastAsia="zh-CN"/>
        </w:rPr>
        <w:t>三</w:t>
      </w:r>
      <w:r>
        <w:rPr>
          <w:rFonts w:hint="eastAsia" w:ascii="微软雅黑" w:hAnsi="微软雅黑" w:eastAsia="微软雅黑"/>
          <w:b/>
          <w:color w:val="auto"/>
          <w:sz w:val="36"/>
          <w:szCs w:val="36"/>
          <w:highlight w:val="none"/>
          <w:lang w:eastAsia="zh-CN"/>
        </w:rPr>
        <w:t>月</w:t>
      </w:r>
    </w:p>
    <w:p w14:paraId="73901037">
      <w:pPr>
        <w:spacing w:line="360" w:lineRule="auto"/>
        <w:jc w:val="center"/>
        <w:rPr>
          <w:rFonts w:ascii="微软雅黑" w:hAnsi="微软雅黑" w:eastAsia="微软雅黑"/>
          <w:b/>
          <w:bCs/>
          <w:color w:val="auto"/>
          <w:sz w:val="32"/>
          <w:highlight w:val="none"/>
        </w:rPr>
        <w:sectPr>
          <w:headerReference r:id="rId5" w:type="first"/>
          <w:headerReference r:id="rId3" w:type="default"/>
          <w:footerReference r:id="rId6" w:type="default"/>
          <w:headerReference r:id="rId4" w:type="even"/>
          <w:footerReference r:id="rId7" w:type="even"/>
          <w:pgSz w:w="11906" w:h="16838"/>
          <w:pgMar w:top="1440" w:right="1287" w:bottom="1440" w:left="1797" w:header="851" w:footer="992" w:gutter="0"/>
          <w:cols w:space="720" w:num="1"/>
          <w:titlePg/>
          <w:docGrid w:type="lines" w:linePitch="312" w:charSpace="0"/>
        </w:sectPr>
      </w:pPr>
    </w:p>
    <w:p w14:paraId="47CB8933">
      <w:pPr>
        <w:keepNext w:val="0"/>
        <w:keepLines w:val="0"/>
        <w:pageBreakBefore w:val="0"/>
        <w:widowControl w:val="0"/>
        <w:tabs>
          <w:tab w:val="left" w:pos="0"/>
        </w:tabs>
        <w:kinsoku/>
        <w:wordWrap/>
        <w:overflowPunct/>
        <w:topLinePunct w:val="0"/>
        <w:autoSpaceDE/>
        <w:autoSpaceDN/>
        <w:bidi w:val="0"/>
        <w:adjustRightInd/>
        <w:snapToGrid/>
        <w:spacing w:line="240" w:lineRule="auto"/>
        <w:jc w:val="center"/>
        <w:textAlignment w:val="auto"/>
        <w:rPr>
          <w:rFonts w:hint="eastAsia" w:ascii="微软雅黑" w:hAnsi="微软雅黑" w:eastAsia="微软雅黑" w:cs="微软雅黑"/>
          <w:b/>
          <w:bCs/>
          <w:color w:val="auto"/>
          <w:sz w:val="40"/>
          <w:szCs w:val="40"/>
          <w:highlight w:val="none"/>
        </w:rPr>
      </w:pPr>
      <w:r>
        <w:rPr>
          <w:rFonts w:hint="eastAsia" w:ascii="微软雅黑" w:hAnsi="微软雅黑" w:eastAsia="微软雅黑" w:cs="微软雅黑"/>
          <w:b/>
          <w:bCs/>
          <w:color w:val="auto"/>
          <w:sz w:val="40"/>
          <w:szCs w:val="40"/>
          <w:highlight w:val="none"/>
        </w:rPr>
        <w:t>目  录</w:t>
      </w:r>
    </w:p>
    <w:p w14:paraId="16D61396">
      <w:pPr>
        <w:pStyle w:val="16"/>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b w:val="0"/>
          <w:i w:val="0"/>
          <w:iCs/>
          <w:color w:val="auto"/>
          <w:sz w:val="21"/>
          <w:szCs w:val="21"/>
          <w:highlight w:val="none"/>
        </w:rPr>
        <w:fldChar w:fldCharType="begin"/>
      </w:r>
      <w:r>
        <w:rPr>
          <w:rFonts w:hint="eastAsia" w:ascii="微软雅黑" w:hAnsi="微软雅黑" w:eastAsia="微软雅黑" w:cs="微软雅黑"/>
          <w:b w:val="0"/>
          <w:i w:val="0"/>
          <w:iCs/>
          <w:color w:val="auto"/>
          <w:sz w:val="21"/>
          <w:szCs w:val="21"/>
          <w:highlight w:val="none"/>
        </w:rPr>
        <w:instrText xml:space="preserve"> TOC \o "1-3" \h \z \u\b char1 </w:instrText>
      </w:r>
      <w:r>
        <w:rPr>
          <w:rFonts w:hint="eastAsia" w:ascii="微软雅黑" w:hAnsi="微软雅黑" w:eastAsia="微软雅黑" w:cs="微软雅黑"/>
          <w:b w:val="0"/>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_Toc18959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第一章 比选邀请</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_Toc18959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4090F365">
      <w:pPr>
        <w:pStyle w:val="16"/>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_Toc13846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第二章 项目采购需求</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_Toc13846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AEB0AB1">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_Toc17006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 xml:space="preserve">一、 </w:t>
      </w:r>
      <w:r>
        <w:rPr>
          <w:rFonts w:hint="eastAsia" w:ascii="微软雅黑" w:hAnsi="微软雅黑" w:eastAsia="微软雅黑" w:cs="微软雅黑"/>
          <w:i w:val="0"/>
          <w:iCs/>
          <w:color w:val="auto"/>
          <w:sz w:val="21"/>
          <w:szCs w:val="21"/>
          <w:highlight w:val="none"/>
          <w:lang w:val="en-US" w:eastAsia="zh-CN"/>
        </w:rPr>
        <w:t>技术</w:t>
      </w:r>
      <w:r>
        <w:rPr>
          <w:rFonts w:hint="eastAsia" w:ascii="微软雅黑" w:hAnsi="微软雅黑" w:eastAsia="微软雅黑" w:cs="微软雅黑"/>
          <w:i w:val="0"/>
          <w:iCs/>
          <w:color w:val="auto"/>
          <w:sz w:val="21"/>
          <w:szCs w:val="21"/>
          <w:highlight w:val="none"/>
        </w:rPr>
        <w:t>要求</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_Toc17006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E510A5E">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_Toc19598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二、 商务条款</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_Toc19598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6</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A1356EA">
      <w:pPr>
        <w:pStyle w:val="16"/>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_Toc32614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第三章 供应商须知</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_Toc32614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7</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9C42A67">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_Toc5925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lang w:val="en-US"/>
        </w:rPr>
        <w:t xml:space="preserve">一、 </w:t>
      </w:r>
      <w:r>
        <w:rPr>
          <w:rFonts w:hint="eastAsia" w:ascii="微软雅黑" w:hAnsi="微软雅黑" w:eastAsia="微软雅黑" w:cs="微软雅黑"/>
          <w:i w:val="0"/>
          <w:iCs/>
          <w:color w:val="auto"/>
          <w:sz w:val="21"/>
          <w:szCs w:val="21"/>
          <w:highlight w:val="none"/>
        </w:rPr>
        <w:t>供应商须知前附表</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_Toc5925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7</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44B1E3E">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_Toc4929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lang w:val="en-US"/>
        </w:rPr>
        <w:t xml:space="preserve">二、 </w:t>
      </w:r>
      <w:r>
        <w:rPr>
          <w:rFonts w:hint="eastAsia" w:ascii="微软雅黑" w:hAnsi="微软雅黑" w:eastAsia="微软雅黑" w:cs="微软雅黑"/>
          <w:i w:val="0"/>
          <w:iCs/>
          <w:color w:val="auto"/>
          <w:sz w:val="21"/>
          <w:szCs w:val="21"/>
          <w:highlight w:val="none"/>
        </w:rPr>
        <w:t>总  则</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_Toc4929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15B731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_Toc6224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1、适用范围</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_Toc6224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D4794F3">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_Toc4783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2、定义</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_Toc4783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ED3CD0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_Toc26080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3、比选费用</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_Toc26080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A4F247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_Toc18576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4、合格的供应商</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_Toc18576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AF0B4D5">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_Toc25128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三、 比选文件</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_Toc25128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D703974">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_Toc3352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5、比选文件构成</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_Toc3352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EDCDC4E">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_Toc12045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6、比选文件的澄清和修改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_Toc12045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7C40BDC">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_Toc790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四、 比选响应文件的编制</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_Toc790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2956533">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_Toc12979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7、比选响应文件构成</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_Toc12979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53E7F74">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_Toc21600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8、比选响应编制的注意事项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_Toc21600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32D566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_Toc698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9、报价</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_Toc698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2395BFC">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_Toc3765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10、证明供应商合格资格的文件</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_Toc3765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377FA3D">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_Toc29213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11、比选保证金</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_Toc29213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5738CEBD">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_Toc3215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12、比选有效期</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_Toc3215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12</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A59E65D">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_Toc7975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13、比选响应文件份数和签署</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_Toc7975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D670E70">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_Toc29125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五、 比选响应文件的递交</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_Toc29125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9A0711B">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_Toc2604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14、比选响应文件的密封和标记</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_Toc2604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017E08C">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_Toc16869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15、比选响应文件递交截止期</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_Toc16869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75A225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_Toc17120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16、比选响应文件的修改和撤回</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_Toc17120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D040F8F">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_Toc1708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六、 比选程序及比选方法</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_Toc1708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64D8B8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_Toc27008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17、组建比选小组</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_Toc27008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B84E6C9">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_Toc28432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18、比选组织</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_Toc28432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15</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DF60E2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_Toc27178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19、比选程序</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_Toc27178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15</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228F61A">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_Toc21422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20、评价和比较</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_Toc21422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16</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57B43E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_Toc19481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七、 授予合同</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_Toc19481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EE260DC">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_Toc13218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21、确定成交供应商</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_Toc13218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EA014D4">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_Toc31648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22、成交结果公告</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_Toc31648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4A30B8F">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_Toc5383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23、成交通知书</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_Toc5383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4B34648">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_Toc27929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24、签订合同</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_Toc27929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6F312E6">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_Toc20161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八、 其他事项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_Toc20161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495294F">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_Toc10270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25、采购代理服务费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_Toc10270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23FC425">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_Toc11575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26、解释权</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_Toc11575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B6BA6A0">
      <w:pPr>
        <w:pStyle w:val="11"/>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_Toc1483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27、未尽事宜</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_Toc1483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41F0D38C">
      <w:pPr>
        <w:pStyle w:val="17"/>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_Toc12832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第四章 合同</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_Toc12832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22</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2C3AEB6">
      <w:pPr>
        <w:pStyle w:val="17"/>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_Toc478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第五章 附件（比选响应文件格式）</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_Toc478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59496286">
      <w:pPr>
        <w:keepNext w:val="0"/>
        <w:keepLines w:val="0"/>
        <w:pageBreakBefore w:val="0"/>
        <w:widowControl w:val="0"/>
        <w:tabs>
          <w:tab w:val="left" w:pos="4620"/>
        </w:tabs>
        <w:kinsoku/>
        <w:wordWrap/>
        <w:overflowPunct/>
        <w:topLinePunct w:val="0"/>
        <w:autoSpaceDE/>
        <w:autoSpaceDN/>
        <w:bidi w:val="0"/>
        <w:adjustRightInd/>
        <w:snapToGrid/>
        <w:spacing w:line="300" w:lineRule="exact"/>
        <w:textAlignment w:val="auto"/>
        <w:rPr>
          <w:rFonts w:ascii="微软雅黑" w:hAnsi="微软雅黑" w:eastAsia="微软雅黑"/>
          <w:b/>
          <w:color w:val="auto"/>
          <w:sz w:val="18"/>
          <w:szCs w:val="21"/>
          <w:highlight w:val="none"/>
        </w:rPr>
        <w:sectPr>
          <w:headerReference r:id="rId10" w:type="first"/>
          <w:footerReference r:id="rId12" w:type="first"/>
          <w:headerReference r:id="rId8" w:type="default"/>
          <w:headerReference r:id="rId9" w:type="even"/>
          <w:footerReference r:id="rId11" w:type="even"/>
          <w:pgSz w:w="11906" w:h="16838"/>
          <w:pgMar w:top="1440" w:right="1133" w:bottom="1440" w:left="1797" w:header="851" w:footer="992" w:gutter="0"/>
          <w:cols w:space="720" w:num="1"/>
          <w:docGrid w:type="lines" w:linePitch="312" w:charSpace="0"/>
        </w:sectPr>
      </w:pPr>
      <w:r>
        <w:rPr>
          <w:rFonts w:hint="eastAsia" w:ascii="微软雅黑" w:hAnsi="微软雅黑" w:eastAsia="微软雅黑" w:cs="微软雅黑"/>
          <w:i w:val="0"/>
          <w:iCs/>
          <w:color w:val="auto"/>
          <w:sz w:val="21"/>
          <w:szCs w:val="21"/>
          <w:highlight w:val="none"/>
        </w:rPr>
        <w:fldChar w:fldCharType="end"/>
      </w:r>
    </w:p>
    <w:p w14:paraId="53D3486F">
      <w:pPr>
        <w:pStyle w:val="2"/>
        <w:tabs>
          <w:tab w:val="left" w:pos="0"/>
        </w:tabs>
        <w:spacing w:after="240" w:line="400" w:lineRule="exact"/>
        <w:jc w:val="center"/>
        <w:rPr>
          <w:rFonts w:ascii="微软雅黑" w:hAnsi="微软雅黑" w:eastAsia="微软雅黑"/>
          <w:color w:val="auto"/>
          <w:sz w:val="44"/>
          <w:highlight w:val="none"/>
        </w:rPr>
      </w:pPr>
      <w:bookmarkStart w:id="0" w:name="_Hlt526418134"/>
      <w:bookmarkEnd w:id="0"/>
      <w:bookmarkStart w:id="1" w:name="_Hlt533241375"/>
      <w:bookmarkEnd w:id="1"/>
      <w:bookmarkStart w:id="2" w:name="_Hlt519045295"/>
      <w:bookmarkEnd w:id="2"/>
      <w:bookmarkStart w:id="3" w:name="_Toc413768803"/>
      <w:bookmarkStart w:id="4" w:name="_Toc377982314"/>
      <w:bookmarkStart w:id="5" w:name="_Toc8376279"/>
      <w:bookmarkStart w:id="6" w:name="_Hlt510343011"/>
      <w:bookmarkStart w:id="7" w:name="_Hlt510342998"/>
      <w:bookmarkStart w:id="8" w:name="_Toc147282122"/>
      <w:bookmarkStart w:id="9" w:name="OLE_LINK14"/>
      <w:bookmarkStart w:id="10" w:name="char1"/>
      <w:r>
        <w:rPr>
          <w:rFonts w:ascii="微软雅黑" w:hAnsi="微软雅黑" w:eastAsia="微软雅黑"/>
          <w:color w:val="auto"/>
          <w:sz w:val="44"/>
          <w:highlight w:val="none"/>
        </w:rPr>
        <w:tab/>
      </w:r>
      <w:bookmarkStart w:id="11" w:name="_Toc18959"/>
      <w:r>
        <w:rPr>
          <w:rFonts w:hint="eastAsia" w:ascii="微软雅黑" w:hAnsi="微软雅黑" w:eastAsia="微软雅黑"/>
          <w:color w:val="auto"/>
          <w:sz w:val="44"/>
          <w:highlight w:val="none"/>
        </w:rPr>
        <w:t>第一章 比选邀请</w:t>
      </w:r>
      <w:bookmarkEnd w:id="3"/>
      <w:bookmarkEnd w:id="4"/>
      <w:bookmarkEnd w:id="5"/>
      <w:bookmarkEnd w:id="11"/>
    </w:p>
    <w:p w14:paraId="0B8E5EA9">
      <w:pPr>
        <w:keepNext w:val="0"/>
        <w:keepLines w:val="0"/>
        <w:pageBreakBefore w:val="0"/>
        <w:widowControl w:val="0"/>
        <w:kinsoku/>
        <w:overflowPunct/>
        <w:topLinePunct w:val="0"/>
        <w:autoSpaceDE/>
        <w:autoSpaceDN/>
        <w:bidi w:val="0"/>
        <w:adjustRightInd/>
        <w:snapToGrid/>
        <w:spacing w:line="480" w:lineRule="exact"/>
        <w:ind w:firstLine="480" w:firstLineChars="200"/>
        <w:textAlignment w:val="auto"/>
        <w:rPr>
          <w:rFonts w:ascii="微软雅黑" w:hAnsi="微软雅黑" w:eastAsia="微软雅黑"/>
          <w:color w:val="auto"/>
          <w:sz w:val="24"/>
          <w:szCs w:val="24"/>
          <w:highlight w:val="none"/>
        </w:rPr>
      </w:pPr>
      <w:bookmarkStart w:id="12" w:name="_Toc28359012"/>
      <w:bookmarkStart w:id="13" w:name="_Toc28359089"/>
      <w:bookmarkStart w:id="14" w:name="_Toc35393798"/>
      <w:bookmarkStart w:id="15" w:name="_Toc35393629"/>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受</w:t>
      </w:r>
      <w:r>
        <w:rPr>
          <w:rFonts w:hint="eastAsia" w:ascii="微软雅黑" w:hAnsi="微软雅黑" w:eastAsia="微软雅黑"/>
          <w:color w:val="auto"/>
          <w:sz w:val="24"/>
          <w:szCs w:val="24"/>
          <w:highlight w:val="none"/>
          <w:lang w:eastAsia="zh-CN"/>
        </w:rPr>
        <w:t>南昌红鼎文化产业运营有限公司</w:t>
      </w:r>
      <w:r>
        <w:rPr>
          <w:rFonts w:hint="eastAsia" w:ascii="微软雅黑" w:hAnsi="微软雅黑" w:eastAsia="微软雅黑"/>
          <w:color w:val="auto"/>
          <w:sz w:val="24"/>
          <w:szCs w:val="24"/>
          <w:highlight w:val="none"/>
        </w:rPr>
        <w:t>委托，就</w:t>
      </w:r>
      <w:r>
        <w:rPr>
          <w:rFonts w:hint="eastAsia" w:ascii="微软雅黑" w:hAnsi="微软雅黑" w:eastAsia="微软雅黑"/>
          <w:color w:val="auto"/>
          <w:sz w:val="24"/>
          <w:szCs w:val="24"/>
          <w:highlight w:val="none"/>
          <w:lang w:eastAsia="zh-CN"/>
        </w:rPr>
        <w:t>红谷滩区现代服务产业园能耗监测系统技术服务（第二次）</w:t>
      </w:r>
      <w:r>
        <w:rPr>
          <w:rFonts w:ascii="微软雅黑" w:hAnsi="微软雅黑" w:eastAsia="微软雅黑"/>
          <w:color w:val="auto"/>
          <w:sz w:val="24"/>
          <w:szCs w:val="24"/>
          <w:highlight w:val="none"/>
        </w:rPr>
        <w:t>（采购编号：</w:t>
      </w:r>
      <w:r>
        <w:rPr>
          <w:rFonts w:hint="eastAsia" w:ascii="微软雅黑" w:hAnsi="微软雅黑" w:eastAsia="微软雅黑"/>
          <w:color w:val="auto"/>
          <w:sz w:val="24"/>
          <w:szCs w:val="24"/>
          <w:highlight w:val="none"/>
          <w:lang w:eastAsia="zh-CN"/>
        </w:rPr>
        <w:t>NCCH2026-B0404-1</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进行公开比选，欢迎合格的供应商参选。</w:t>
      </w:r>
    </w:p>
    <w:p w14:paraId="723E9A0B">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bCs/>
          <w:color w:val="auto"/>
          <w:sz w:val="24"/>
          <w:szCs w:val="24"/>
          <w:highlight w:val="none"/>
        </w:rPr>
      </w:pPr>
      <w:r>
        <w:rPr>
          <w:rFonts w:hint="eastAsia" w:ascii="微软雅黑" w:hAnsi="微软雅黑" w:eastAsia="微软雅黑"/>
          <w:b/>
          <w:bCs/>
          <w:color w:val="auto"/>
          <w:sz w:val="24"/>
          <w:szCs w:val="24"/>
          <w:highlight w:val="none"/>
        </w:rPr>
        <w:t>一、项目基本情况</w:t>
      </w:r>
      <w:bookmarkEnd w:id="12"/>
      <w:bookmarkEnd w:id="13"/>
      <w:bookmarkEnd w:id="14"/>
      <w:bookmarkEnd w:id="15"/>
    </w:p>
    <w:p w14:paraId="795AD1B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lang w:eastAsia="zh-CN"/>
        </w:rPr>
      </w:pPr>
      <w:r>
        <w:rPr>
          <w:rFonts w:hint="eastAsia" w:ascii="微软雅黑" w:hAnsi="微软雅黑" w:eastAsia="微软雅黑" w:cs="Times New Roman"/>
          <w:color w:val="auto"/>
          <w:sz w:val="24"/>
          <w:szCs w:val="24"/>
          <w:highlight w:val="none"/>
        </w:rPr>
        <w:t>1、项目编号：</w:t>
      </w:r>
      <w:r>
        <w:rPr>
          <w:rFonts w:hint="eastAsia" w:ascii="微软雅黑" w:hAnsi="微软雅黑" w:eastAsia="微软雅黑" w:cs="Times New Roman"/>
          <w:color w:val="auto"/>
          <w:sz w:val="24"/>
          <w:szCs w:val="24"/>
          <w:highlight w:val="none"/>
          <w:lang w:eastAsia="zh-CN"/>
        </w:rPr>
        <w:t>NCCH2026-B0404-1</w:t>
      </w:r>
    </w:p>
    <w:p w14:paraId="53E0101F">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lang w:eastAsia="zh-CN"/>
        </w:rPr>
      </w:pPr>
      <w:r>
        <w:rPr>
          <w:rFonts w:hint="eastAsia" w:ascii="微软雅黑" w:hAnsi="微软雅黑" w:eastAsia="微软雅黑" w:cs="Times New Roman"/>
          <w:color w:val="auto"/>
          <w:sz w:val="24"/>
          <w:szCs w:val="24"/>
          <w:highlight w:val="none"/>
        </w:rPr>
        <w:t>2、项目名称：</w:t>
      </w:r>
      <w:r>
        <w:rPr>
          <w:rFonts w:hint="eastAsia" w:ascii="微软雅黑" w:hAnsi="微软雅黑" w:eastAsia="微软雅黑" w:cs="Times New Roman"/>
          <w:color w:val="auto"/>
          <w:sz w:val="24"/>
          <w:szCs w:val="24"/>
          <w:highlight w:val="none"/>
          <w:lang w:eastAsia="zh-CN"/>
        </w:rPr>
        <w:t>红谷滩区现代服务产业园能耗监测系统技术服务（第二次）</w:t>
      </w:r>
    </w:p>
    <w:p w14:paraId="0827BA8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3、采购方式：比选</w:t>
      </w:r>
    </w:p>
    <w:p w14:paraId="669ACF0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default" w:ascii="微软雅黑" w:hAnsi="微软雅黑" w:eastAsia="微软雅黑" w:cs="Times New Roman"/>
          <w:color w:val="auto"/>
          <w:sz w:val="24"/>
          <w:szCs w:val="24"/>
          <w:highlight w:val="none"/>
          <w:lang w:val="en-US" w:eastAsia="zh-CN"/>
        </w:rPr>
      </w:pPr>
      <w:r>
        <w:rPr>
          <w:rFonts w:hint="eastAsia" w:ascii="微软雅黑" w:hAnsi="微软雅黑" w:eastAsia="微软雅黑" w:cs="Times New Roman"/>
          <w:color w:val="auto"/>
          <w:sz w:val="24"/>
          <w:szCs w:val="24"/>
          <w:highlight w:val="none"/>
        </w:rPr>
        <w:t>4、</w:t>
      </w:r>
      <w:r>
        <w:rPr>
          <w:rFonts w:hint="eastAsia" w:ascii="微软雅黑" w:hAnsi="微软雅黑" w:eastAsia="微软雅黑" w:cs="Times New Roman"/>
          <w:color w:val="auto"/>
          <w:sz w:val="24"/>
          <w:szCs w:val="24"/>
          <w:highlight w:val="none"/>
          <w:lang w:eastAsia="zh-CN"/>
        </w:rPr>
        <w:t>项目地点：</w:t>
      </w:r>
      <w:r>
        <w:rPr>
          <w:rFonts w:hint="eastAsia" w:ascii="微软雅黑" w:hAnsi="微软雅黑" w:eastAsia="微软雅黑" w:cs="Times New Roman"/>
          <w:color w:val="auto"/>
          <w:sz w:val="24"/>
          <w:szCs w:val="24"/>
          <w:highlight w:val="none"/>
          <w:lang w:val="en-US" w:eastAsia="zh-CN"/>
        </w:rPr>
        <w:t>比选人指定地点。</w:t>
      </w:r>
    </w:p>
    <w:p w14:paraId="4B7CD67E">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5、</w:t>
      </w:r>
      <w:r>
        <w:rPr>
          <w:rFonts w:hint="eastAsia" w:ascii="微软雅黑" w:hAnsi="微软雅黑" w:eastAsia="微软雅黑" w:cs="Times New Roman"/>
          <w:color w:val="auto"/>
          <w:sz w:val="24"/>
          <w:szCs w:val="24"/>
          <w:highlight w:val="none"/>
          <w:lang w:eastAsia="zh-CN"/>
        </w:rPr>
        <w:t>工期</w:t>
      </w:r>
      <w:r>
        <w:rPr>
          <w:rFonts w:hint="eastAsia" w:ascii="微软雅黑" w:hAnsi="微软雅黑" w:eastAsia="微软雅黑" w:cs="Times New Roman"/>
          <w:color w:val="auto"/>
          <w:sz w:val="24"/>
          <w:szCs w:val="24"/>
          <w:highlight w:val="none"/>
        </w:rPr>
        <w:t>：按采购人要求进场后，30日历天内完成本项目的所有施工、验收及备案等工作。</w:t>
      </w:r>
    </w:p>
    <w:p w14:paraId="299DABA0">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default" w:ascii="微软雅黑" w:hAnsi="微软雅黑" w:eastAsia="微软雅黑" w:cs="Times New Roman"/>
          <w:color w:val="auto"/>
          <w:sz w:val="24"/>
          <w:szCs w:val="24"/>
          <w:highlight w:val="none"/>
          <w:lang w:val="en-US" w:eastAsia="zh-CN"/>
        </w:rPr>
      </w:pPr>
      <w:r>
        <w:rPr>
          <w:rFonts w:hint="eastAsia" w:ascii="微软雅黑" w:hAnsi="微软雅黑" w:eastAsia="微软雅黑" w:cs="Times New Roman"/>
          <w:color w:val="auto"/>
          <w:sz w:val="24"/>
          <w:szCs w:val="24"/>
          <w:highlight w:val="none"/>
          <w:lang w:val="en-US" w:eastAsia="zh-CN"/>
        </w:rPr>
        <w:t>6、项目预算（控制价）：305198.89元</w:t>
      </w:r>
    </w:p>
    <w:p w14:paraId="6F399C37">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bCs/>
          <w:color w:val="auto"/>
          <w:sz w:val="24"/>
          <w:szCs w:val="24"/>
          <w:highlight w:val="none"/>
        </w:rPr>
      </w:pPr>
      <w:bookmarkStart w:id="16" w:name="_Toc35393799"/>
      <w:bookmarkStart w:id="17" w:name="_Toc28359090"/>
      <w:bookmarkStart w:id="18" w:name="_Toc28359013"/>
      <w:bookmarkStart w:id="19" w:name="_Toc35393630"/>
      <w:r>
        <w:rPr>
          <w:rFonts w:hint="eastAsia" w:ascii="微软雅黑" w:hAnsi="微软雅黑" w:eastAsia="微软雅黑"/>
          <w:b/>
          <w:bCs/>
          <w:color w:val="auto"/>
          <w:sz w:val="24"/>
          <w:szCs w:val="24"/>
          <w:highlight w:val="none"/>
        </w:rPr>
        <w:t>二、申请人的资格要求：</w:t>
      </w:r>
      <w:bookmarkEnd w:id="16"/>
      <w:bookmarkEnd w:id="17"/>
      <w:bookmarkEnd w:id="18"/>
      <w:bookmarkEnd w:id="19"/>
    </w:p>
    <w:p w14:paraId="6E102B2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bookmarkStart w:id="20" w:name="_Toc35393631"/>
      <w:bookmarkStart w:id="21" w:name="_Toc28359091"/>
      <w:bookmarkStart w:id="22" w:name="_Toc35393800"/>
      <w:bookmarkStart w:id="23" w:name="_Toc28359014"/>
      <w:r>
        <w:rPr>
          <w:rFonts w:hint="eastAsia" w:ascii="微软雅黑" w:hAnsi="微软雅黑" w:eastAsia="微软雅黑" w:cs="Times New Roman"/>
          <w:color w:val="auto"/>
          <w:sz w:val="24"/>
          <w:szCs w:val="24"/>
          <w:highlight w:val="none"/>
        </w:rPr>
        <w:t>1</w:t>
      </w:r>
      <w:r>
        <w:rPr>
          <w:rFonts w:hint="eastAsia" w:ascii="微软雅黑" w:hAnsi="微软雅黑" w:eastAsia="微软雅黑" w:cs="Times New Roman"/>
          <w:color w:val="auto"/>
          <w:sz w:val="24"/>
          <w:szCs w:val="24"/>
          <w:highlight w:val="none"/>
          <w:lang w:eastAsia="zh-CN"/>
        </w:rPr>
        <w:t>、</w:t>
      </w:r>
      <w:r>
        <w:rPr>
          <w:rFonts w:hint="eastAsia" w:ascii="微软雅黑" w:hAnsi="微软雅黑" w:eastAsia="微软雅黑" w:cs="Times New Roman"/>
          <w:color w:val="auto"/>
          <w:sz w:val="24"/>
          <w:szCs w:val="24"/>
          <w:highlight w:val="none"/>
        </w:rPr>
        <w:t>满足《中华人民共和国政府采购法》第二十二条规定：</w:t>
      </w:r>
    </w:p>
    <w:p w14:paraId="1D3323D2">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1.1 具有独立承担民事责任的能力；</w:t>
      </w:r>
    </w:p>
    <w:p w14:paraId="14F5C366">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1.2 具有良好的商业信誉和健全的财务会计制度；</w:t>
      </w:r>
    </w:p>
    <w:p w14:paraId="44326DA1">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1.3 具有履行合同所必需的设备和专业技术能力；</w:t>
      </w:r>
    </w:p>
    <w:p w14:paraId="3DC22C4B">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1.4 有依法缴纳税收和社会保障资金的良好记录；</w:t>
      </w:r>
    </w:p>
    <w:p w14:paraId="0FEEF7EA">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1.5 参加政府采购活动前三年内,在经营活动中没有重大违法记录；</w:t>
      </w:r>
    </w:p>
    <w:p w14:paraId="6292E6AB">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1.6 法律、行政法规规定的其他条件。</w:t>
      </w:r>
    </w:p>
    <w:p w14:paraId="01F8614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2</w:t>
      </w:r>
      <w:r>
        <w:rPr>
          <w:rFonts w:hint="eastAsia" w:ascii="微软雅黑" w:hAnsi="微软雅黑" w:eastAsia="微软雅黑" w:cs="Times New Roman"/>
          <w:color w:val="auto"/>
          <w:sz w:val="24"/>
          <w:szCs w:val="24"/>
          <w:highlight w:val="none"/>
          <w:lang w:eastAsia="zh-CN"/>
        </w:rPr>
        <w:t>、</w:t>
      </w:r>
      <w:r>
        <w:rPr>
          <w:rFonts w:hint="eastAsia" w:ascii="微软雅黑" w:hAnsi="微软雅黑" w:eastAsia="微软雅黑" w:cs="Times New Roman"/>
          <w:color w:val="auto"/>
          <w:sz w:val="24"/>
          <w:szCs w:val="24"/>
          <w:highlight w:val="none"/>
        </w:rPr>
        <w:t>单位负责人为同一人或者存在直接控股、管理关系的不同供应商，不得参加同一合同项下的采购活动。为本采购项目提供整体设计、规范编制或者项目管理、监理、检测等服务的，不得参加本项目的政府采购活动。</w:t>
      </w:r>
    </w:p>
    <w:p w14:paraId="7F59D6A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3</w:t>
      </w:r>
      <w:r>
        <w:rPr>
          <w:rFonts w:hint="eastAsia" w:ascii="微软雅黑" w:hAnsi="微软雅黑" w:eastAsia="微软雅黑" w:cs="Times New Roman"/>
          <w:color w:val="auto"/>
          <w:sz w:val="24"/>
          <w:szCs w:val="24"/>
          <w:highlight w:val="none"/>
          <w:lang w:eastAsia="zh-CN"/>
        </w:rPr>
        <w:t>、</w:t>
      </w:r>
      <w:r>
        <w:rPr>
          <w:rFonts w:hint="eastAsia" w:ascii="微软雅黑" w:hAnsi="微软雅黑" w:eastAsia="微软雅黑" w:cs="Times New Roman"/>
          <w:color w:val="auto"/>
          <w:sz w:val="24"/>
          <w:szCs w:val="24"/>
          <w:highlight w:val="none"/>
        </w:rPr>
        <w:t>供应商被“信用中国”网站列入失信被执行人或重大税收违法案件当事人名单、或被“中国政府采购网”网站列入政府采购严重违法失信行为记录名单（处罚期限尚未届满的）的，不得参加本项目的政府采购活动。</w:t>
      </w:r>
    </w:p>
    <w:p w14:paraId="36168E5B">
      <w:pPr>
        <w:keepNext w:val="0"/>
        <w:keepLines w:val="0"/>
        <w:pageBreakBefore w:val="0"/>
        <w:widowControl w:val="0"/>
        <w:tabs>
          <w:tab w:val="left" w:pos="312"/>
        </w:tabs>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val="en-US" w:eastAsia="zh-CN"/>
        </w:rPr>
        <w:t>4</w:t>
      </w:r>
      <w:r>
        <w:rPr>
          <w:rFonts w:hint="eastAsia" w:ascii="微软雅黑" w:hAnsi="微软雅黑" w:eastAsia="微软雅黑"/>
          <w:color w:val="auto"/>
          <w:sz w:val="24"/>
          <w:szCs w:val="24"/>
          <w:highlight w:val="none"/>
          <w:lang w:eastAsia="zh-CN"/>
        </w:rPr>
        <w:t>、</w:t>
      </w:r>
      <w:r>
        <w:rPr>
          <w:rFonts w:hint="eastAsia" w:ascii="微软雅黑" w:hAnsi="微软雅黑" w:eastAsia="微软雅黑"/>
          <w:color w:val="auto"/>
          <w:sz w:val="24"/>
          <w:szCs w:val="24"/>
          <w:highlight w:val="none"/>
        </w:rPr>
        <w:t>本项目不接受联合体投标。</w:t>
      </w:r>
    </w:p>
    <w:p w14:paraId="04CB160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default" w:ascii="微软雅黑" w:hAnsi="微软雅黑" w:eastAsia="微软雅黑" w:cs="Times New Roman"/>
          <w:color w:val="auto"/>
          <w:sz w:val="24"/>
          <w:szCs w:val="24"/>
          <w:highlight w:val="none"/>
          <w:lang w:val="en-US" w:eastAsia="zh-CN"/>
        </w:rPr>
      </w:pPr>
      <w:r>
        <w:rPr>
          <w:rFonts w:hint="eastAsia" w:ascii="微软雅黑" w:hAnsi="微软雅黑" w:eastAsia="微软雅黑" w:cs="Times New Roman"/>
          <w:color w:val="auto"/>
          <w:sz w:val="24"/>
          <w:szCs w:val="24"/>
          <w:highlight w:val="none"/>
          <w:lang w:val="en-US" w:eastAsia="zh-CN"/>
        </w:rPr>
        <w:t>5、本项目的特定资格要求：无。</w:t>
      </w:r>
    </w:p>
    <w:bookmarkEnd w:id="20"/>
    <w:bookmarkEnd w:id="21"/>
    <w:bookmarkEnd w:id="22"/>
    <w:bookmarkEnd w:id="23"/>
    <w:p w14:paraId="3C577B1C">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三</w:t>
      </w:r>
      <w:r>
        <w:rPr>
          <w:rFonts w:hint="eastAsia" w:ascii="微软雅黑" w:hAnsi="微软雅黑" w:eastAsia="微软雅黑"/>
          <w:b/>
          <w:color w:val="auto"/>
          <w:sz w:val="24"/>
          <w:szCs w:val="24"/>
          <w:highlight w:val="none"/>
        </w:rPr>
        <w:t>、报名及比选文件获取方式</w:t>
      </w:r>
    </w:p>
    <w:p w14:paraId="1F6D28A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获取时间：从</w:t>
      </w: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19</w:t>
      </w:r>
      <w:r>
        <w:rPr>
          <w:rFonts w:hint="eastAsia" w:ascii="微软雅黑" w:hAnsi="微软雅黑" w:eastAsia="微软雅黑"/>
          <w:bCs/>
          <w:color w:val="auto"/>
          <w:sz w:val="24"/>
          <w:szCs w:val="24"/>
          <w:highlight w:val="none"/>
        </w:rPr>
        <w:t>日09时00分到</w:t>
      </w: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23</w:t>
      </w:r>
      <w:r>
        <w:rPr>
          <w:rFonts w:hint="eastAsia" w:ascii="微软雅黑" w:hAnsi="微软雅黑" w:eastAsia="微软雅黑"/>
          <w:bCs/>
          <w:color w:val="auto"/>
          <w:sz w:val="24"/>
          <w:szCs w:val="24"/>
          <w:highlight w:val="none"/>
        </w:rPr>
        <w:t xml:space="preserve">日17时00分 </w:t>
      </w:r>
    </w:p>
    <w:p w14:paraId="52FAA6F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获取方式：有意向的参选人自行在南昌市红谷滩城市投资集团有限公司网站(网址:http://www.hgtct.com/News.aspx?id=22&amp;PageIndex=1)上下载比选文件。</w:t>
      </w:r>
    </w:p>
    <w:p w14:paraId="6FBF488F">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四</w:t>
      </w:r>
      <w:r>
        <w:rPr>
          <w:rFonts w:hint="eastAsia" w:ascii="微软雅黑" w:hAnsi="微软雅黑" w:eastAsia="微软雅黑"/>
          <w:b/>
          <w:color w:val="auto"/>
          <w:sz w:val="24"/>
          <w:szCs w:val="24"/>
          <w:highlight w:val="none"/>
        </w:rPr>
        <w:t>、投标文件递交时间</w:t>
      </w:r>
    </w:p>
    <w:p w14:paraId="2B2A7FE6">
      <w:pPr>
        <w:keepNext w:val="0"/>
        <w:keepLines w:val="0"/>
        <w:pageBreakBefore w:val="0"/>
        <w:widowControl w:val="0"/>
        <w:kinsoku/>
        <w:overflowPunct/>
        <w:topLinePunct w:val="0"/>
        <w:autoSpaceDE/>
        <w:autoSpaceDN/>
        <w:bidi w:val="0"/>
        <w:adjustRightInd/>
        <w:snapToGrid/>
        <w:spacing w:line="480" w:lineRule="exact"/>
        <w:ind w:firstLine="424" w:firstLineChars="177"/>
        <w:textAlignment w:val="auto"/>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03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24</w:t>
      </w:r>
      <w:r>
        <w:rPr>
          <w:rFonts w:hint="eastAsia" w:ascii="微软雅黑" w:hAnsi="微软雅黑" w:eastAsia="微软雅黑"/>
          <w:bCs/>
          <w:color w:val="auto"/>
          <w:sz w:val="24"/>
          <w:szCs w:val="24"/>
          <w:highlight w:val="none"/>
        </w:rPr>
        <w:t>日</w:t>
      </w:r>
      <w:r>
        <w:rPr>
          <w:rFonts w:hint="eastAsia" w:ascii="微软雅黑" w:hAnsi="微软雅黑" w:eastAsia="微软雅黑"/>
          <w:bCs/>
          <w:color w:val="auto"/>
          <w:sz w:val="24"/>
          <w:szCs w:val="24"/>
          <w:highlight w:val="none"/>
          <w:lang w:val="en-US" w:eastAsia="zh-CN"/>
        </w:rPr>
        <w:t>09</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30</w:t>
      </w:r>
      <w:r>
        <w:rPr>
          <w:rFonts w:hint="eastAsia" w:ascii="微软雅黑" w:hAnsi="微软雅黑" w:eastAsia="微软雅黑"/>
          <w:color w:val="auto"/>
          <w:sz w:val="24"/>
          <w:szCs w:val="24"/>
          <w:highlight w:val="none"/>
        </w:rPr>
        <w:t>时-</w:t>
      </w:r>
      <w:r>
        <w:rPr>
          <w:rFonts w:hint="eastAsia" w:ascii="微软雅黑" w:hAnsi="微软雅黑" w:eastAsia="微软雅黑"/>
          <w:color w:val="auto"/>
          <w:sz w:val="24"/>
          <w:szCs w:val="24"/>
          <w:highlight w:val="none"/>
          <w:lang w:val="en-US" w:eastAsia="zh-CN"/>
        </w:rPr>
        <w:t>10</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00</w:t>
      </w:r>
      <w:r>
        <w:rPr>
          <w:rFonts w:hint="eastAsia" w:ascii="微软雅黑" w:hAnsi="微软雅黑" w:eastAsia="微软雅黑"/>
          <w:color w:val="auto"/>
          <w:sz w:val="24"/>
          <w:szCs w:val="24"/>
          <w:highlight w:val="none"/>
        </w:rPr>
        <w:t>时</w:t>
      </w:r>
      <w:r>
        <w:rPr>
          <w:rFonts w:hint="eastAsia" w:ascii="微软雅黑" w:hAnsi="微软雅黑" w:eastAsia="微软雅黑"/>
          <w:bCs/>
          <w:color w:val="auto"/>
          <w:sz w:val="24"/>
          <w:szCs w:val="24"/>
          <w:highlight w:val="none"/>
        </w:rPr>
        <w:t>（北京时间），</w:t>
      </w:r>
      <w:r>
        <w:rPr>
          <w:rFonts w:hint="eastAsia" w:ascii="微软雅黑" w:hAnsi="微软雅黑" w:eastAsia="微软雅黑"/>
          <w:color w:val="auto"/>
          <w:sz w:val="24"/>
          <w:szCs w:val="24"/>
          <w:highlight w:val="none"/>
        </w:rPr>
        <w:t>届时供应商的法定代表人或经正式授权的代表应当出席开标大会。</w:t>
      </w:r>
    </w:p>
    <w:p w14:paraId="7E6247FE">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五</w:t>
      </w:r>
      <w:r>
        <w:rPr>
          <w:rFonts w:hint="eastAsia" w:ascii="微软雅黑" w:hAnsi="微软雅黑" w:eastAsia="微软雅黑"/>
          <w:b/>
          <w:color w:val="auto"/>
          <w:sz w:val="24"/>
          <w:szCs w:val="24"/>
          <w:highlight w:val="none"/>
        </w:rPr>
        <w:t>、投标文件截止时间和开标时间</w:t>
      </w:r>
    </w:p>
    <w:p w14:paraId="11B3A267">
      <w:pPr>
        <w:keepNext w:val="0"/>
        <w:keepLines w:val="0"/>
        <w:pageBreakBefore w:val="0"/>
        <w:widowControl w:val="0"/>
        <w:kinsoku/>
        <w:overflowPunct/>
        <w:topLinePunct w:val="0"/>
        <w:autoSpaceDE/>
        <w:autoSpaceDN/>
        <w:bidi w:val="0"/>
        <w:adjustRightInd/>
        <w:snapToGrid/>
        <w:spacing w:line="480" w:lineRule="exact"/>
        <w:ind w:firstLine="424" w:firstLineChars="177"/>
        <w:textAlignment w:val="auto"/>
        <w:rPr>
          <w:rFonts w:ascii="微软雅黑" w:hAnsi="微软雅黑" w:eastAsia="微软雅黑"/>
          <w:color w:val="auto"/>
          <w:sz w:val="24"/>
          <w:szCs w:val="24"/>
          <w:highlight w:val="none"/>
        </w:rPr>
      </w:pP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03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24</w:t>
      </w:r>
      <w:bookmarkStart w:id="219" w:name="_GoBack"/>
      <w:bookmarkEnd w:id="219"/>
      <w:r>
        <w:rPr>
          <w:rFonts w:hint="eastAsia" w:ascii="微软雅黑" w:hAnsi="微软雅黑" w:eastAsia="微软雅黑"/>
          <w:bCs/>
          <w:color w:val="auto"/>
          <w:sz w:val="24"/>
          <w:szCs w:val="24"/>
          <w:highlight w:val="none"/>
        </w:rPr>
        <w:t>日</w:t>
      </w:r>
      <w:r>
        <w:rPr>
          <w:rFonts w:hint="eastAsia" w:ascii="微软雅黑" w:hAnsi="微软雅黑" w:eastAsia="微软雅黑"/>
          <w:color w:val="auto"/>
          <w:sz w:val="24"/>
          <w:szCs w:val="24"/>
          <w:highlight w:val="none"/>
          <w:lang w:val="en-US" w:eastAsia="zh-CN"/>
        </w:rPr>
        <w:t>10</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00</w:t>
      </w:r>
      <w:r>
        <w:rPr>
          <w:rFonts w:hint="eastAsia" w:ascii="微软雅黑" w:hAnsi="微软雅黑" w:eastAsia="微软雅黑"/>
          <w:color w:val="auto"/>
          <w:sz w:val="24"/>
          <w:szCs w:val="24"/>
          <w:highlight w:val="none"/>
        </w:rPr>
        <w:t>时（北京时间）。</w:t>
      </w:r>
    </w:p>
    <w:p w14:paraId="43B516D5">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六</w:t>
      </w:r>
      <w:r>
        <w:rPr>
          <w:rFonts w:hint="eastAsia" w:ascii="微软雅黑" w:hAnsi="微软雅黑" w:eastAsia="微软雅黑"/>
          <w:b/>
          <w:color w:val="auto"/>
          <w:sz w:val="24"/>
          <w:szCs w:val="24"/>
          <w:highlight w:val="none"/>
        </w:rPr>
        <w:t>、投标文件递交地点和开标地点</w:t>
      </w:r>
    </w:p>
    <w:p w14:paraId="7D77FB4F">
      <w:pPr>
        <w:keepNext w:val="0"/>
        <w:keepLines w:val="0"/>
        <w:pageBreakBefore w:val="0"/>
        <w:widowControl w:val="0"/>
        <w:kinsoku/>
        <w:overflowPunct/>
        <w:topLinePunct w:val="0"/>
        <w:autoSpaceDE/>
        <w:autoSpaceDN/>
        <w:bidi w:val="0"/>
        <w:adjustRightInd/>
        <w:snapToGrid/>
        <w:spacing w:line="480" w:lineRule="exact"/>
        <w:ind w:firstLine="424" w:firstLineChars="177"/>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bCs/>
          <w:color w:val="auto"/>
          <w:sz w:val="24"/>
          <w:szCs w:val="24"/>
          <w:highlight w:val="none"/>
          <w:lang w:eastAsia="zh-CN"/>
        </w:rPr>
        <w:t>南昌市红谷滩区会展路545号红谷城投大厦7楼阳光开标房</w:t>
      </w:r>
    </w:p>
    <w:p w14:paraId="0261DDA9">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七</w:t>
      </w:r>
      <w:r>
        <w:rPr>
          <w:rFonts w:hint="eastAsia" w:ascii="微软雅黑" w:hAnsi="微软雅黑" w:eastAsia="微软雅黑"/>
          <w:b/>
          <w:color w:val="auto"/>
          <w:sz w:val="24"/>
          <w:szCs w:val="24"/>
          <w:highlight w:val="none"/>
        </w:rPr>
        <w:t>、联系方式</w:t>
      </w:r>
    </w:p>
    <w:p w14:paraId="0A58B6D3">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招标人：</w:t>
      </w:r>
      <w:r>
        <w:rPr>
          <w:rFonts w:hint="eastAsia" w:ascii="微软雅黑" w:hAnsi="微软雅黑" w:eastAsia="微软雅黑"/>
          <w:color w:val="auto"/>
          <w:sz w:val="24"/>
          <w:szCs w:val="24"/>
          <w:highlight w:val="none"/>
          <w:lang w:eastAsia="zh-CN"/>
        </w:rPr>
        <w:t>南昌红鼎文化产业运营有限公司</w:t>
      </w:r>
    </w:p>
    <w:p w14:paraId="2E2E728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lang w:eastAsia="zh-CN"/>
        </w:rPr>
        <w:t>江西省南昌市红谷滩区会展路545号11楼</w:t>
      </w:r>
    </w:p>
    <w:p w14:paraId="680ADF7E">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default" w:ascii="微软雅黑" w:hAnsi="微软雅黑" w:eastAsia="微软雅黑"/>
          <w:color w:val="auto"/>
          <w:sz w:val="24"/>
          <w:szCs w:val="24"/>
          <w:highlight w:val="none"/>
          <w:lang w:val="en-US" w:eastAsia="zh-CN"/>
        </w:rPr>
      </w:pPr>
      <w:r>
        <w:rPr>
          <w:rFonts w:hint="eastAsia"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val="en-US" w:eastAsia="zh-CN"/>
        </w:rPr>
        <w:t xml:space="preserve">温强  </w:t>
      </w:r>
    </w:p>
    <w:p w14:paraId="64E9187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default" w:ascii="微软雅黑" w:hAnsi="微软雅黑" w:eastAsia="微软雅黑"/>
          <w:b w:val="0"/>
          <w:bCs w:val="0"/>
          <w:color w:val="auto"/>
          <w:sz w:val="24"/>
          <w:szCs w:val="24"/>
          <w:highlight w:val="none"/>
          <w:lang w:val="en-US" w:eastAsia="zh-CN"/>
        </w:rPr>
      </w:pPr>
      <w:r>
        <w:rPr>
          <w:rFonts w:hint="eastAsia" w:ascii="微软雅黑" w:hAnsi="微软雅黑" w:eastAsia="微软雅黑"/>
          <w:b w:val="0"/>
          <w:bCs w:val="0"/>
          <w:color w:val="auto"/>
          <w:sz w:val="24"/>
          <w:szCs w:val="24"/>
          <w:highlight w:val="none"/>
        </w:rPr>
        <w:t>联系电话：</w:t>
      </w:r>
      <w:r>
        <w:rPr>
          <w:rFonts w:hint="eastAsia" w:ascii="微软雅黑" w:hAnsi="微软雅黑" w:eastAsia="微软雅黑"/>
          <w:b w:val="0"/>
          <w:bCs w:val="0"/>
          <w:color w:val="auto"/>
          <w:sz w:val="24"/>
          <w:szCs w:val="24"/>
          <w:highlight w:val="none"/>
          <w:lang w:val="en-US" w:eastAsia="zh-CN"/>
        </w:rPr>
        <w:t xml:space="preserve">13970917726  </w:t>
      </w:r>
    </w:p>
    <w:p w14:paraId="37854436">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采购代理机构：</w:t>
      </w:r>
      <w:r>
        <w:rPr>
          <w:rFonts w:hint="eastAsia" w:ascii="微软雅黑" w:hAnsi="微软雅黑" w:eastAsia="微软雅黑"/>
          <w:color w:val="auto"/>
          <w:sz w:val="24"/>
          <w:szCs w:val="24"/>
          <w:highlight w:val="none"/>
          <w:lang w:eastAsia="zh-CN"/>
        </w:rPr>
        <w:t>南昌市晨晖招投标咨询服务有限公司</w:t>
      </w:r>
    </w:p>
    <w:p w14:paraId="152725DE">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lang w:eastAsia="zh-CN"/>
        </w:rPr>
        <w:t>南昌市红谷滩新区凤凰中大道1869号东华锦城1栋601室</w:t>
      </w:r>
    </w:p>
    <w:p w14:paraId="28B6F2D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eastAsia="zh-CN"/>
        </w:rPr>
        <w:t>余洁</w:t>
      </w:r>
    </w:p>
    <w:p w14:paraId="3E9A276D">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联系电话：</w:t>
      </w:r>
      <w:r>
        <w:rPr>
          <w:rFonts w:hint="eastAsia" w:ascii="微软雅黑" w:hAnsi="微软雅黑" w:eastAsia="微软雅黑"/>
          <w:color w:val="auto"/>
          <w:sz w:val="24"/>
          <w:szCs w:val="24"/>
          <w:highlight w:val="none"/>
          <w:lang w:eastAsia="zh-CN"/>
        </w:rPr>
        <w:t>18170060466</w:t>
      </w:r>
    </w:p>
    <w:p w14:paraId="23A75636">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kern w:val="0"/>
          <w:sz w:val="24"/>
          <w:szCs w:val="24"/>
          <w:highlight w:val="none"/>
          <w:lang w:eastAsia="zh-CN"/>
        </w:rPr>
      </w:pPr>
      <w:r>
        <w:rPr>
          <w:rFonts w:hint="eastAsia" w:ascii="微软雅黑" w:hAnsi="微软雅黑" w:eastAsia="微软雅黑"/>
          <w:color w:val="auto"/>
          <w:sz w:val="24"/>
          <w:szCs w:val="24"/>
          <w:highlight w:val="none"/>
        </w:rPr>
        <w:t>信息发布媒体：</w:t>
      </w:r>
      <w:r>
        <w:rPr>
          <w:rFonts w:hint="eastAsia" w:ascii="微软雅黑" w:hAnsi="微软雅黑" w:eastAsia="微软雅黑"/>
          <w:color w:val="auto"/>
          <w:sz w:val="24"/>
          <w:szCs w:val="24"/>
          <w:highlight w:val="none"/>
          <w:lang w:eastAsia="zh-CN"/>
        </w:rPr>
        <w:t>红谷滩城市投资集团公司官网（http://www.hgtct.com/News.aspx?id=22）</w:t>
      </w:r>
    </w:p>
    <w:p w14:paraId="13545473">
      <w:pPr>
        <w:pStyle w:val="2"/>
        <w:keepNext/>
        <w:keepLines/>
        <w:pageBreakBefore w:val="0"/>
        <w:widowControl w:val="0"/>
        <w:tabs>
          <w:tab w:val="left" w:pos="0"/>
        </w:tabs>
        <w:kinsoku/>
        <w:wordWrap/>
        <w:overflowPunct/>
        <w:topLinePunct w:val="0"/>
        <w:autoSpaceDE/>
        <w:autoSpaceDN/>
        <w:bidi w:val="0"/>
        <w:adjustRightInd/>
        <w:snapToGrid/>
        <w:spacing w:before="140" w:after="40" w:line="360" w:lineRule="auto"/>
        <w:jc w:val="center"/>
        <w:textAlignment w:val="auto"/>
        <w:rPr>
          <w:rFonts w:ascii="微软雅黑" w:hAnsi="微软雅黑" w:eastAsia="微软雅黑"/>
          <w:color w:val="auto"/>
          <w:sz w:val="44"/>
          <w:highlight w:val="none"/>
        </w:rPr>
      </w:pPr>
      <w:bookmarkStart w:id="24" w:name="_Toc8376280"/>
      <w:r>
        <w:rPr>
          <w:rFonts w:ascii="微软雅黑" w:hAnsi="微软雅黑" w:eastAsia="微软雅黑"/>
          <w:color w:val="auto"/>
          <w:sz w:val="44"/>
          <w:highlight w:val="none"/>
        </w:rPr>
        <w:br w:type="page"/>
      </w:r>
      <w:bookmarkStart w:id="25" w:name="_Toc13846"/>
      <w:r>
        <w:rPr>
          <w:rFonts w:hint="eastAsia" w:ascii="微软雅黑" w:hAnsi="微软雅黑" w:eastAsia="微软雅黑"/>
          <w:color w:val="auto"/>
          <w:sz w:val="44"/>
          <w:highlight w:val="none"/>
        </w:rPr>
        <w:t>第二章</w:t>
      </w:r>
      <w:bookmarkStart w:id="26" w:name="_Toc413768804"/>
      <w:r>
        <w:rPr>
          <w:rFonts w:hint="eastAsia" w:ascii="微软雅黑" w:hAnsi="微软雅黑" w:eastAsia="微软雅黑"/>
          <w:color w:val="auto"/>
          <w:sz w:val="44"/>
          <w:highlight w:val="none"/>
        </w:rPr>
        <w:t xml:space="preserve"> 项目采购需求</w:t>
      </w:r>
      <w:bookmarkEnd w:id="24"/>
      <w:bookmarkEnd w:id="25"/>
      <w:bookmarkEnd w:id="26"/>
    </w:p>
    <w:p w14:paraId="25743796">
      <w:pPr>
        <w:pStyle w:val="4"/>
        <w:keepNext/>
        <w:keepLines/>
        <w:pageBreakBefore w:val="0"/>
        <w:widowControl w:val="0"/>
        <w:numPr>
          <w:ilvl w:val="0"/>
          <w:numId w:val="1"/>
        </w:numPr>
        <w:tabs>
          <w:tab w:val="left" w:pos="0"/>
          <w:tab w:val="clear" w:pos="420"/>
        </w:tabs>
        <w:kinsoku/>
        <w:wordWrap/>
        <w:overflowPunct/>
        <w:topLinePunct w:val="0"/>
        <w:autoSpaceDE/>
        <w:autoSpaceDN/>
        <w:bidi w:val="0"/>
        <w:adjustRightInd/>
        <w:snapToGrid/>
        <w:spacing w:before="0" w:after="140" w:line="400" w:lineRule="exact"/>
        <w:ind w:left="0" w:firstLine="0"/>
        <w:jc w:val="center"/>
        <w:textAlignment w:val="auto"/>
        <w:rPr>
          <w:rFonts w:ascii="微软雅黑" w:hAnsi="微软雅黑" w:eastAsia="微软雅黑"/>
          <w:color w:val="auto"/>
          <w:sz w:val="32"/>
          <w:szCs w:val="32"/>
          <w:highlight w:val="none"/>
        </w:rPr>
      </w:pPr>
      <w:bookmarkStart w:id="27" w:name="_Toc413768806"/>
      <w:bookmarkStart w:id="28" w:name="_Toc92704755"/>
      <w:bookmarkStart w:id="29" w:name="_Toc17006"/>
      <w:r>
        <w:rPr>
          <w:rFonts w:hint="eastAsia" w:ascii="微软雅黑" w:hAnsi="微软雅黑" w:eastAsia="微软雅黑"/>
          <w:color w:val="auto"/>
          <w:sz w:val="32"/>
          <w:szCs w:val="32"/>
          <w:highlight w:val="none"/>
          <w:lang w:val="en-US" w:eastAsia="zh-CN"/>
        </w:rPr>
        <w:t>技术</w:t>
      </w:r>
      <w:r>
        <w:rPr>
          <w:rFonts w:hint="eastAsia" w:ascii="微软雅黑" w:hAnsi="微软雅黑" w:eastAsia="微软雅黑"/>
          <w:color w:val="auto"/>
          <w:sz w:val="32"/>
          <w:szCs w:val="32"/>
          <w:highlight w:val="none"/>
        </w:rPr>
        <w:t>要求</w:t>
      </w:r>
      <w:bookmarkEnd w:id="27"/>
      <w:bookmarkEnd w:id="28"/>
      <w:bookmarkEnd w:id="29"/>
    </w:p>
    <w:p w14:paraId="4485274A">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1、工程概况</w:t>
      </w:r>
    </w:p>
    <w:p w14:paraId="60BA600C">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1.1工程名称：红谷滩现代服务产业园</w:t>
      </w:r>
    </w:p>
    <w:p w14:paraId="408D4DA3">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1.2工程规模：总建筑面积约330000㎡，总计容建筑面积约：250000㎡,人防建筑面积约19986.66㎡；</w:t>
      </w:r>
    </w:p>
    <w:p w14:paraId="2AE9F0AE">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2、服务内容</w:t>
      </w:r>
    </w:p>
    <w:p w14:paraId="3164C31F">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2.1能耗监测系统的方案确定、系统搭建、数据上传、专项验收及后续运维等服务。（详见附表）</w:t>
      </w:r>
    </w:p>
    <w:p w14:paraId="7C6C4A05">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2.2提供电脑终端软件和移动手机APP软件各一套，能实现相关用能的实时监测、统计、分析及数据上报功能等，并对整个系统的运行进行管理及维护。</w:t>
      </w:r>
    </w:p>
    <w:p w14:paraId="02AB1B6B">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2.3项目总监测点位暂定651个（实际点位数根据现场情况及验收要求确定），主要包含项目的分类能耗（照明与插座、空调、动力、特殊用能等）及地下室区域电耗二级子项的点位。</w:t>
      </w:r>
    </w:p>
    <w:p w14:paraId="56D01EC6">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2.4办理项目所需的能耗监测系统在政府职能部门中的备案及数据接入证明等。</w:t>
      </w:r>
    </w:p>
    <w:p w14:paraId="4EE0CD91">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附表：</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0"/>
        <w:gridCol w:w="1940"/>
        <w:gridCol w:w="5184"/>
        <w:gridCol w:w="564"/>
        <w:gridCol w:w="564"/>
      </w:tblGrid>
      <w:tr w14:paraId="1A429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E09D">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序号</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4ABC">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项目名称</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48669">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项目特征</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790D">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单位</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A8CC4">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数量</w:t>
            </w:r>
          </w:p>
        </w:tc>
      </w:tr>
      <w:tr w14:paraId="549A1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6BB1">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007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智能高速交换机</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AEDF9">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1.名称:智能高速交换机</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0395">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台</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557F7">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6</w:t>
            </w:r>
          </w:p>
        </w:tc>
      </w:tr>
      <w:tr w14:paraId="4D45B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F35FC">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2</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C109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485双向光端机</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C298">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1.名称:485双向光端机</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26F03">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5706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2</w:t>
            </w:r>
          </w:p>
        </w:tc>
      </w:tr>
      <w:tr w14:paraId="4D103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CEB2">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3</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0011">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弱电成套柜</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D7AB8">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1.名称:弱电成套柜</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2.规格:国产优质600X400X350</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29B53">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台</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F973D">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7</w:t>
            </w:r>
          </w:p>
        </w:tc>
      </w:tr>
      <w:tr w14:paraId="249FB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697F0">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4</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63DB">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电源组合开关</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FFF55">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1.名称:电源组合开关</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2.型号:空开2P</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24077">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DB944">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7</w:t>
            </w:r>
          </w:p>
        </w:tc>
      </w:tr>
      <w:tr w14:paraId="2E6BA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38C89">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5</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5ADDC">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插座</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5290">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1.名称:组合插座</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2.规格型号:2+3孔</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486F3">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A862E">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21</w:t>
            </w:r>
          </w:p>
        </w:tc>
      </w:tr>
      <w:tr w14:paraId="1203C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110A">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6</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904C8">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4G无线网卡</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4580">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1.名称:4G无线网卡（国产优质）</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BE3D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BDEB9">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6</w:t>
            </w:r>
          </w:p>
        </w:tc>
      </w:tr>
      <w:tr w14:paraId="5324F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6CAE0">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7</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ABCE0">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485多主机分线器</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F70E">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1.名称:485多主机分线器</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2.规格:MZ485GL3</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1191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个</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49E5">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37</w:t>
            </w:r>
          </w:p>
        </w:tc>
      </w:tr>
      <w:tr w14:paraId="18E3A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09F2">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8</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2A13">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数据采集网关及配套数据处理软件</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6FDB">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1.名称：数据采集网关及配套数据处理软件</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2.网关及软件可实时上传省（市）级机关办公建筑和大型公共建筑能耗监测平台，并配套提供电脑终端软件和移动手机APP软件各一套，能实现相关用能的实时监测、统计、分析及数据上报功能等</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61D91">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套</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DDBF8">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6</w:t>
            </w:r>
          </w:p>
        </w:tc>
      </w:tr>
      <w:tr w14:paraId="20579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C8822">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9</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97B61">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云平台数据维运费（不低于10年）</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A392C">
            <w:pPr>
              <w:keepNext w:val="0"/>
              <w:keepLines w:val="0"/>
              <w:widowControl/>
              <w:suppressLineNumbers w:val="0"/>
              <w:jc w:val="left"/>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1.云平台数据维运费（不低于10年）</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2.为分项计量设备正常运行提供技术服务，负责项目所有用电设备及网络通讯设备的长期运行维护。</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3.承诺出现技术故障时，及时派技术人员当日去现场解决问题，若由人为或不可抗拒自然因素造成的设备故障或损坏情况，将和项目建设方协商，确保7个工作日内修复。</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0428F">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项</w:t>
            </w:r>
          </w:p>
        </w:tc>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6A8B">
            <w:pPr>
              <w:keepNext w:val="0"/>
              <w:keepLines w:val="0"/>
              <w:widowControl/>
              <w:suppressLineNumbers w:val="0"/>
              <w:jc w:val="center"/>
              <w:textAlignment w:val="center"/>
              <w:rPr>
                <w:rFonts w:hint="eastAsia" w:ascii="微软雅黑" w:hAnsi="微软雅黑" w:eastAsia="微软雅黑" w:cs="微软雅黑"/>
                <w:i w:val="0"/>
                <w:iCs w:val="0"/>
                <w:color w:val="auto"/>
                <w:kern w:val="0"/>
                <w:sz w:val="24"/>
                <w:szCs w:val="24"/>
                <w:u w:val="none"/>
                <w:lang w:val="en-US" w:eastAsia="zh-CN" w:bidi="ar"/>
              </w:rPr>
            </w:pPr>
            <w:r>
              <w:rPr>
                <w:rFonts w:hint="eastAsia" w:ascii="微软雅黑" w:hAnsi="微软雅黑" w:eastAsia="微软雅黑" w:cs="微软雅黑"/>
                <w:i w:val="0"/>
                <w:iCs w:val="0"/>
                <w:color w:val="auto"/>
                <w:kern w:val="0"/>
                <w:sz w:val="24"/>
                <w:szCs w:val="24"/>
                <w:u w:val="none"/>
                <w:lang w:val="en-US" w:eastAsia="zh-CN" w:bidi="ar"/>
              </w:rPr>
              <w:t>1</w:t>
            </w:r>
          </w:p>
        </w:tc>
      </w:tr>
    </w:tbl>
    <w:p w14:paraId="45BCCD32">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 xml:space="preserve">3、中选人职责义务 </w:t>
      </w:r>
    </w:p>
    <w:p w14:paraId="0F4A924C">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3.1遵守国家和地方的有关法律法规，严格按照有关规范、标准和规程开展相关工作；</w:t>
      </w:r>
    </w:p>
    <w:p w14:paraId="7ED5C1C8">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3.2应根据国家现行相关标准及规范对项目能耗监测系统进行总体方案设计（包括现场施工、网络构架、数据传输等）并对系统进行管理维护及数据接入，最终按约定时间出具有效且符合政府相关部门要求的检测报告、备案表及合格证明等；</w:t>
      </w:r>
    </w:p>
    <w:p w14:paraId="4577DA43">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3.3应具有符合能耗监测系统检测、管理、维护要求的资质及出具相关政府部门要求的检测报告、合格证明所需的能力、人员及相关证书；</w:t>
      </w:r>
    </w:p>
    <w:p w14:paraId="799966ED">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3.4严格对系统的数据、报告、备案表、合格证明等材料的真实性和准确性负责；</w:t>
      </w:r>
    </w:p>
    <w:p w14:paraId="6197E822">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3.5为采购人的技术资料进行保密，且提供必要的工程相关的专业咨询服务；</w:t>
      </w:r>
    </w:p>
    <w:p w14:paraId="3CF20B91">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3.6现场工作完毕后，应在7个工作日内完成项目相关能耗数据接入政府平台的合格证明，必要时及时向采购人反馈相关结果信息。</w:t>
      </w:r>
    </w:p>
    <w:p w14:paraId="602F2AED">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3.7检测数据、报告信息错误，未按照约定依据进行或者结论判断错误等非采购人责任造成的返工，中选人应进行更正或免费重新进行相关工作，以最终满足要求。</w:t>
      </w:r>
    </w:p>
    <w:p w14:paraId="104EB113">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3.8根据系统的实际情况和采购人要求，对采购人或者采购人委托的管理方人员进行必要的培训。</w:t>
      </w:r>
    </w:p>
    <w:p w14:paraId="435DAD0A">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3.9自项目验收通过（获取系统备案及数据接入证明）之日起，提供1年的免费保修期。</w:t>
      </w:r>
    </w:p>
    <w:p w14:paraId="5D7F74EF">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4、违约责任</w:t>
      </w:r>
    </w:p>
    <w:p w14:paraId="10F076F2">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4.1中选人对检测数据、报告、合格证明等材料的质量负责，若由此影响采购人报监、验收，由中选人解决，造成采购人损失的，中选人向采购人承担赔偿责任。</w:t>
      </w:r>
    </w:p>
    <w:p w14:paraId="63C9FD22">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4.2如中选人工作结果涉嫌妨碍公正，受到建设及相关行政主管部门的查处，则采购人有权拒付合同款；造成采购人损失的，中选人向采购人承担赔偿责任。</w:t>
      </w:r>
    </w:p>
    <w:p w14:paraId="6279EB46">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4.3因中选人原因，未按合同约定日期完成能耗系统数据接入时，中选人从应提交日期的次日起计算，每延误一天，向采购人赔偿合同金额的3%，作为违约金。</w:t>
      </w:r>
    </w:p>
    <w:p w14:paraId="4E1668BA">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4.4中选人违反保密义务给采购人造成损失的，采购人有权要求中选人赔偿全部损失。</w:t>
      </w:r>
    </w:p>
    <w:p w14:paraId="25E799D0">
      <w:pPr>
        <w:spacing w:line="440" w:lineRule="exact"/>
        <w:ind w:firstLine="240" w:firstLineChars="100"/>
        <w:rPr>
          <w:rFonts w:hint="eastAsia" w:ascii="微软雅黑" w:hAnsi="微软雅黑" w:eastAsia="微软雅黑" w:cs="Times New Roman"/>
          <w:b/>
          <w:bCs/>
          <w:color w:val="auto"/>
          <w:kern w:val="0"/>
          <w:sz w:val="24"/>
          <w:szCs w:val="24"/>
          <w:highlight w:val="none"/>
          <w:lang w:val="zh-CN"/>
        </w:rPr>
      </w:pPr>
    </w:p>
    <w:p w14:paraId="18B0340E">
      <w:pPr>
        <w:spacing w:line="440" w:lineRule="exact"/>
        <w:ind w:firstLine="240" w:firstLineChars="100"/>
        <w:rPr>
          <w:rFonts w:hint="eastAsia" w:ascii="微软雅黑" w:hAnsi="微软雅黑" w:eastAsia="微软雅黑" w:cs="Times New Roman"/>
          <w:b/>
          <w:bCs/>
          <w:color w:val="auto"/>
          <w:kern w:val="0"/>
          <w:sz w:val="24"/>
          <w:szCs w:val="24"/>
          <w:highlight w:val="none"/>
          <w:lang w:val="zh-CN"/>
        </w:rPr>
      </w:pPr>
      <w:r>
        <w:rPr>
          <w:rFonts w:hint="eastAsia" w:ascii="微软雅黑" w:hAnsi="微软雅黑" w:eastAsia="微软雅黑" w:cs="Times New Roman"/>
          <w:b/>
          <w:bCs/>
          <w:color w:val="auto"/>
          <w:kern w:val="0"/>
          <w:sz w:val="24"/>
          <w:szCs w:val="24"/>
          <w:highlight w:val="none"/>
          <w:lang w:val="zh-CN"/>
        </w:rPr>
        <w:t>注：技术/服务要求全部为实质性要求，供应商须全部响应或优于，否则作无效应答处理。</w:t>
      </w:r>
    </w:p>
    <w:p w14:paraId="166A3FBA">
      <w:pPr>
        <w:rPr>
          <w:rFonts w:hint="eastAsia" w:ascii="微软雅黑" w:hAnsi="微软雅黑" w:eastAsia="微软雅黑" w:cs="Times New Roman"/>
          <w:b/>
          <w:bCs/>
          <w:color w:val="auto"/>
          <w:kern w:val="0"/>
          <w:sz w:val="24"/>
          <w:szCs w:val="24"/>
          <w:highlight w:val="none"/>
          <w:lang w:val="zh-CN"/>
        </w:rPr>
      </w:pPr>
      <w:r>
        <w:rPr>
          <w:rFonts w:hint="eastAsia" w:ascii="微软雅黑" w:hAnsi="微软雅黑" w:eastAsia="微软雅黑" w:cs="Times New Roman"/>
          <w:b/>
          <w:bCs/>
          <w:color w:val="auto"/>
          <w:kern w:val="0"/>
          <w:sz w:val="24"/>
          <w:szCs w:val="24"/>
          <w:highlight w:val="none"/>
          <w:lang w:val="zh-CN"/>
        </w:rPr>
        <w:br w:type="page"/>
      </w:r>
    </w:p>
    <w:p w14:paraId="2DC401AF">
      <w:pPr>
        <w:pStyle w:val="4"/>
        <w:numPr>
          <w:ilvl w:val="0"/>
          <w:numId w:val="1"/>
        </w:numPr>
        <w:tabs>
          <w:tab w:val="left" w:pos="0"/>
          <w:tab w:val="clear" w:pos="420"/>
        </w:tabs>
        <w:spacing w:before="500" w:after="140" w:line="400" w:lineRule="exact"/>
        <w:ind w:left="0" w:firstLine="0"/>
        <w:jc w:val="center"/>
        <w:rPr>
          <w:rFonts w:ascii="微软雅黑" w:hAnsi="微软雅黑" w:eastAsia="微软雅黑"/>
          <w:color w:val="auto"/>
          <w:sz w:val="32"/>
          <w:szCs w:val="32"/>
          <w:highlight w:val="none"/>
        </w:rPr>
      </w:pPr>
      <w:bookmarkStart w:id="30" w:name="_Toc413768807"/>
      <w:bookmarkStart w:id="31" w:name="_Toc8376283"/>
      <w:bookmarkStart w:id="32" w:name="_Toc19598"/>
      <w:r>
        <w:rPr>
          <w:rFonts w:hint="eastAsia" w:ascii="微软雅黑" w:hAnsi="微软雅黑" w:eastAsia="微软雅黑"/>
          <w:color w:val="auto"/>
          <w:sz w:val="32"/>
          <w:szCs w:val="32"/>
          <w:highlight w:val="none"/>
        </w:rPr>
        <w:t>商务条款</w:t>
      </w:r>
      <w:bookmarkEnd w:id="30"/>
      <w:bookmarkEnd w:id="31"/>
      <w:bookmarkEnd w:id="32"/>
    </w:p>
    <w:p w14:paraId="25BC39DE">
      <w:pPr>
        <w:spacing w:line="440" w:lineRule="exact"/>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1、工期</w:t>
      </w:r>
    </w:p>
    <w:p w14:paraId="3CE32106">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按采购人要求进场后，30日历天内完成本项目的所有施工、验收及备案等工作。</w:t>
      </w:r>
    </w:p>
    <w:p w14:paraId="749CAA05">
      <w:pPr>
        <w:spacing w:line="440" w:lineRule="exact"/>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2、工程地点</w:t>
      </w:r>
    </w:p>
    <w:p w14:paraId="0FDD27CD">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比选人指定地点。</w:t>
      </w:r>
    </w:p>
    <w:p w14:paraId="40B0FFC0">
      <w:pPr>
        <w:spacing w:line="440" w:lineRule="exact"/>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3、付款方式</w:t>
      </w:r>
    </w:p>
    <w:p w14:paraId="796EFC37">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3.1第一期付款——合同签订后的预付款，合同金额的30%；</w:t>
      </w:r>
    </w:p>
    <w:p w14:paraId="7F2194A7">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3.2第二期付款——获取系统备案及数据接入证明等有效证明材料后10个工作日内，合同金额的60%；</w:t>
      </w:r>
    </w:p>
    <w:p w14:paraId="6148587B">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3.3第三期付款——在结算办理完成后支付至结算金额的97%；</w:t>
      </w:r>
    </w:p>
    <w:p w14:paraId="2DA6E0A5">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3.4第四期付款——系统验收通过之日起运行1年后，付结算金额的3%。</w:t>
      </w:r>
    </w:p>
    <w:p w14:paraId="23960EDE">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p>
    <w:p w14:paraId="73BAD007">
      <w:pPr>
        <w:spacing w:line="440" w:lineRule="exact"/>
        <w:ind w:firstLine="240" w:firstLineChars="100"/>
        <w:rPr>
          <w:rFonts w:hint="default"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注：以上商务条款均须完全响应或优于，否则作无效参选处理。</w:t>
      </w:r>
    </w:p>
    <w:p w14:paraId="42EEFE48">
      <w:pPr>
        <w:spacing w:line="440" w:lineRule="exact"/>
        <w:ind w:firstLine="240" w:firstLineChars="100"/>
        <w:rPr>
          <w:rFonts w:hint="eastAsia" w:ascii="微软雅黑" w:hAnsi="微软雅黑" w:eastAsia="微软雅黑" w:cs="Times New Roman"/>
          <w:color w:val="auto"/>
          <w:kern w:val="0"/>
          <w:sz w:val="24"/>
          <w:szCs w:val="24"/>
          <w:highlight w:val="none"/>
          <w:lang w:val="zh-CN"/>
        </w:rPr>
      </w:pPr>
    </w:p>
    <w:p w14:paraId="1B8F40A3">
      <w:pPr>
        <w:spacing w:line="440" w:lineRule="exact"/>
        <w:ind w:firstLine="240" w:firstLineChars="100"/>
        <w:rPr>
          <w:rFonts w:hint="eastAsia" w:ascii="微软雅黑" w:hAnsi="微软雅黑" w:eastAsia="微软雅黑" w:cs="Times New Roman"/>
          <w:b/>
          <w:bCs/>
          <w:color w:val="auto"/>
          <w:kern w:val="0"/>
          <w:sz w:val="24"/>
          <w:szCs w:val="24"/>
          <w:highlight w:val="none"/>
          <w:lang w:val="zh-CN"/>
        </w:rPr>
        <w:sectPr>
          <w:headerReference r:id="rId13" w:type="default"/>
          <w:footerReference r:id="rId14" w:type="default"/>
          <w:pgSz w:w="11906" w:h="16838"/>
          <w:pgMar w:top="1418" w:right="1418" w:bottom="1418" w:left="1418" w:header="851" w:footer="851" w:gutter="0"/>
          <w:pgNumType w:fmt="decimal" w:start="1"/>
          <w:cols w:space="720" w:num="1"/>
        </w:sectPr>
      </w:pPr>
    </w:p>
    <w:p w14:paraId="65F4C421">
      <w:pPr>
        <w:pStyle w:val="2"/>
        <w:jc w:val="center"/>
        <w:rPr>
          <w:rFonts w:ascii="微软雅黑" w:hAnsi="微软雅黑" w:eastAsia="微软雅黑"/>
          <w:color w:val="auto"/>
          <w:sz w:val="44"/>
          <w:highlight w:val="none"/>
        </w:rPr>
      </w:pPr>
      <w:bookmarkStart w:id="33" w:name="_Toc32614"/>
      <w:bookmarkStart w:id="34" w:name="_Toc8376284"/>
      <w:r>
        <w:rPr>
          <w:rFonts w:hint="eastAsia" w:ascii="微软雅黑" w:hAnsi="微软雅黑" w:eastAsia="微软雅黑"/>
          <w:color w:val="auto"/>
          <w:sz w:val="44"/>
          <w:highlight w:val="none"/>
        </w:rPr>
        <w:t>第三章 供应商须</w:t>
      </w:r>
      <w:bookmarkEnd w:id="6"/>
      <w:r>
        <w:rPr>
          <w:rFonts w:hint="eastAsia" w:ascii="微软雅黑" w:hAnsi="微软雅黑" w:eastAsia="微软雅黑"/>
          <w:color w:val="auto"/>
          <w:sz w:val="44"/>
          <w:highlight w:val="none"/>
        </w:rPr>
        <w:t>知</w:t>
      </w:r>
      <w:bookmarkEnd w:id="33"/>
      <w:bookmarkEnd w:id="34"/>
    </w:p>
    <w:p w14:paraId="13A7EEC1">
      <w:pPr>
        <w:pStyle w:val="4"/>
        <w:numPr>
          <w:ilvl w:val="0"/>
          <w:numId w:val="2"/>
        </w:numPr>
        <w:rPr>
          <w:rFonts w:ascii="微软雅黑" w:hAnsi="微软雅黑" w:eastAsia="微软雅黑"/>
          <w:color w:val="auto"/>
          <w:sz w:val="36"/>
          <w:szCs w:val="36"/>
          <w:highlight w:val="none"/>
        </w:rPr>
      </w:pPr>
      <w:bookmarkStart w:id="35" w:name="_Toc5925"/>
      <w:bookmarkStart w:id="36" w:name="_Toc8376285"/>
      <w:r>
        <w:rPr>
          <w:rFonts w:hint="eastAsia" w:ascii="微软雅黑" w:hAnsi="微软雅黑" w:eastAsia="微软雅黑"/>
          <w:color w:val="auto"/>
          <w:sz w:val="36"/>
          <w:szCs w:val="36"/>
          <w:highlight w:val="none"/>
        </w:rPr>
        <w:t>供应商须知前</w:t>
      </w:r>
      <w:bookmarkEnd w:id="7"/>
      <w:r>
        <w:rPr>
          <w:rFonts w:hint="eastAsia" w:ascii="微软雅黑" w:hAnsi="微软雅黑" w:eastAsia="微软雅黑"/>
          <w:color w:val="auto"/>
          <w:sz w:val="36"/>
          <w:szCs w:val="36"/>
          <w:highlight w:val="none"/>
        </w:rPr>
        <w:t>附表</w:t>
      </w:r>
      <w:bookmarkEnd w:id="8"/>
      <w:bookmarkEnd w:id="35"/>
      <w:bookmarkEnd w:id="36"/>
    </w:p>
    <w:tbl>
      <w:tblPr>
        <w:tblStyle w:val="21"/>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8269"/>
      </w:tblGrid>
      <w:tr w14:paraId="7763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 w:type="dxa"/>
            <w:vAlign w:val="center"/>
          </w:tcPr>
          <w:p w14:paraId="45EEE5D4">
            <w:pPr>
              <w:spacing w:line="400" w:lineRule="exact"/>
              <w:jc w:val="center"/>
              <w:rPr>
                <w:rFonts w:ascii="微软雅黑" w:hAnsi="微软雅黑" w:eastAsia="微软雅黑"/>
                <w:b/>
                <w:color w:val="auto"/>
                <w:sz w:val="24"/>
                <w:szCs w:val="24"/>
                <w:highlight w:val="none"/>
              </w:rPr>
            </w:pPr>
            <w:r>
              <w:rPr>
                <w:rFonts w:ascii="微软雅黑" w:hAnsi="微软雅黑" w:eastAsia="微软雅黑"/>
                <w:b/>
                <w:color w:val="auto"/>
                <w:sz w:val="24"/>
                <w:szCs w:val="24"/>
                <w:highlight w:val="none"/>
              </w:rPr>
              <w:t>序号</w:t>
            </w:r>
          </w:p>
        </w:tc>
        <w:tc>
          <w:tcPr>
            <w:tcW w:w="8269" w:type="dxa"/>
            <w:vAlign w:val="center"/>
          </w:tcPr>
          <w:p w14:paraId="0107FD6E">
            <w:pPr>
              <w:spacing w:line="400" w:lineRule="exact"/>
              <w:jc w:val="center"/>
              <w:rPr>
                <w:rFonts w:ascii="微软雅黑" w:hAnsi="微软雅黑" w:eastAsia="微软雅黑"/>
                <w:b/>
                <w:color w:val="auto"/>
                <w:sz w:val="24"/>
                <w:szCs w:val="24"/>
                <w:highlight w:val="none"/>
              </w:rPr>
            </w:pPr>
            <w:r>
              <w:rPr>
                <w:rFonts w:ascii="微软雅黑" w:hAnsi="微软雅黑" w:eastAsia="微软雅黑"/>
                <w:b/>
                <w:color w:val="auto"/>
                <w:sz w:val="24"/>
                <w:szCs w:val="24"/>
                <w:highlight w:val="none"/>
              </w:rPr>
              <w:t>内      容</w:t>
            </w:r>
          </w:p>
        </w:tc>
      </w:tr>
      <w:tr w14:paraId="7077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 w:type="dxa"/>
            <w:vAlign w:val="center"/>
          </w:tcPr>
          <w:p w14:paraId="555BB5AD">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p>
        </w:tc>
        <w:tc>
          <w:tcPr>
            <w:tcW w:w="8269" w:type="dxa"/>
            <w:vAlign w:val="center"/>
          </w:tcPr>
          <w:p w14:paraId="2A3B306C">
            <w:pPr>
              <w:spacing w:line="400" w:lineRule="exact"/>
              <w:rPr>
                <w:rFonts w:hint="eastAsia" w:ascii="微软雅黑" w:hAnsi="微软雅黑" w:eastAsia="微软雅黑"/>
                <w:color w:val="auto"/>
                <w:sz w:val="24"/>
                <w:highlight w:val="none"/>
                <w:lang w:eastAsia="zh-CN"/>
              </w:rPr>
            </w:pPr>
            <w:r>
              <w:rPr>
                <w:rFonts w:ascii="微软雅黑" w:hAnsi="微软雅黑" w:eastAsia="微软雅黑"/>
                <w:color w:val="auto"/>
                <w:sz w:val="24"/>
                <w:highlight w:val="none"/>
              </w:rPr>
              <w:t>项目名称：</w:t>
            </w:r>
            <w:r>
              <w:rPr>
                <w:rFonts w:hint="eastAsia" w:ascii="微软雅黑" w:hAnsi="微软雅黑" w:eastAsia="微软雅黑"/>
                <w:color w:val="auto"/>
                <w:kern w:val="0"/>
                <w:sz w:val="24"/>
                <w:szCs w:val="24"/>
                <w:highlight w:val="none"/>
                <w:lang w:eastAsia="zh-CN"/>
              </w:rPr>
              <w:t>红谷滩区现代服务产业园能耗监测系统技术服务（第二次）</w:t>
            </w:r>
          </w:p>
          <w:p w14:paraId="6C1A164F">
            <w:pPr>
              <w:spacing w:line="400" w:lineRule="exact"/>
              <w:rPr>
                <w:rFonts w:hint="eastAsia" w:ascii="微软雅黑" w:hAnsi="微软雅黑" w:eastAsia="微软雅黑"/>
                <w:color w:val="auto"/>
                <w:sz w:val="24"/>
                <w:szCs w:val="24"/>
                <w:highlight w:val="none"/>
                <w:lang w:eastAsia="zh-CN"/>
              </w:rPr>
            </w:pPr>
            <w:r>
              <w:rPr>
                <w:rFonts w:ascii="微软雅黑" w:hAnsi="微软雅黑" w:eastAsia="微软雅黑"/>
                <w:color w:val="auto"/>
                <w:sz w:val="24"/>
                <w:highlight w:val="none"/>
              </w:rPr>
              <w:t>采购编号：</w:t>
            </w:r>
            <w:r>
              <w:rPr>
                <w:rFonts w:hint="eastAsia" w:ascii="微软雅黑" w:hAnsi="微软雅黑" w:eastAsia="微软雅黑"/>
                <w:color w:val="auto"/>
                <w:kern w:val="0"/>
                <w:sz w:val="24"/>
                <w:szCs w:val="24"/>
                <w:highlight w:val="none"/>
                <w:lang w:eastAsia="zh-CN"/>
              </w:rPr>
              <w:t>NCCH2026-B0404-1</w:t>
            </w:r>
          </w:p>
        </w:tc>
      </w:tr>
      <w:tr w14:paraId="3CADC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45" w:type="dxa"/>
            <w:vAlign w:val="center"/>
          </w:tcPr>
          <w:p w14:paraId="11995771">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p>
        </w:tc>
        <w:tc>
          <w:tcPr>
            <w:tcW w:w="8269" w:type="dxa"/>
            <w:vAlign w:val="center"/>
          </w:tcPr>
          <w:p w14:paraId="67F27E7C">
            <w:pPr>
              <w:spacing w:line="400" w:lineRule="exact"/>
              <w:rPr>
                <w:rFonts w:hint="eastAsia" w:ascii="微软雅黑" w:hAnsi="微软雅黑" w:eastAsia="微软雅黑"/>
                <w:color w:val="auto"/>
                <w:sz w:val="24"/>
                <w:highlight w:val="none"/>
                <w:lang w:eastAsia="zh-CN"/>
              </w:rPr>
            </w:pPr>
            <w:r>
              <w:rPr>
                <w:rFonts w:ascii="微软雅黑" w:hAnsi="微软雅黑" w:eastAsia="微软雅黑"/>
                <w:color w:val="auto"/>
                <w:sz w:val="24"/>
                <w:szCs w:val="24"/>
                <w:highlight w:val="none"/>
              </w:rPr>
              <w:t>采购人：</w:t>
            </w:r>
            <w:r>
              <w:rPr>
                <w:rFonts w:hint="eastAsia" w:ascii="微软雅黑" w:hAnsi="微软雅黑" w:eastAsia="微软雅黑"/>
                <w:color w:val="auto"/>
                <w:sz w:val="24"/>
                <w:highlight w:val="none"/>
                <w:lang w:eastAsia="zh-CN"/>
              </w:rPr>
              <w:t>南昌红鼎文化产业运营有限公司</w:t>
            </w:r>
          </w:p>
          <w:p w14:paraId="418A82ED">
            <w:pPr>
              <w:spacing w:line="400" w:lineRule="exact"/>
              <w:rPr>
                <w:rFonts w:hint="eastAsia" w:ascii="微软雅黑" w:hAnsi="微软雅黑" w:eastAsia="微软雅黑"/>
                <w:bCs/>
                <w:snapToGrid w:val="0"/>
                <w:color w:val="auto"/>
                <w:kern w:val="0"/>
                <w:sz w:val="24"/>
                <w:szCs w:val="24"/>
                <w:highlight w:val="none"/>
                <w:lang w:eastAsia="zh-CN"/>
              </w:rPr>
            </w:pPr>
            <w:r>
              <w:rPr>
                <w:rFonts w:ascii="微软雅黑" w:hAnsi="微软雅黑" w:eastAsia="微软雅黑"/>
                <w:color w:val="auto"/>
                <w:sz w:val="24"/>
                <w:szCs w:val="24"/>
                <w:highlight w:val="none"/>
              </w:rPr>
              <w:t>地址：</w:t>
            </w:r>
            <w:r>
              <w:rPr>
                <w:rFonts w:hint="eastAsia" w:ascii="微软雅黑" w:hAnsi="微软雅黑" w:eastAsia="微软雅黑"/>
                <w:bCs/>
                <w:snapToGrid w:val="0"/>
                <w:color w:val="auto"/>
                <w:kern w:val="0"/>
                <w:sz w:val="24"/>
                <w:szCs w:val="24"/>
                <w:highlight w:val="none"/>
                <w:lang w:eastAsia="zh-CN"/>
              </w:rPr>
              <w:t>江西省南昌市红谷滩区会展路545号11楼</w:t>
            </w:r>
          </w:p>
          <w:p w14:paraId="0AEE5973">
            <w:pPr>
              <w:spacing w:line="400" w:lineRule="exact"/>
              <w:rPr>
                <w:rFonts w:hint="default" w:ascii="微软雅黑" w:hAnsi="微软雅黑" w:eastAsia="微软雅黑"/>
                <w:color w:val="auto"/>
                <w:sz w:val="24"/>
                <w:highlight w:val="none"/>
                <w:u w:val="single"/>
                <w:lang w:val="en-US" w:eastAsia="zh-CN"/>
              </w:rPr>
            </w:pPr>
            <w:r>
              <w:rPr>
                <w:rFonts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val="en-US" w:eastAsia="zh-CN"/>
              </w:rPr>
              <w:t>温先生</w:t>
            </w:r>
            <w:r>
              <w:rPr>
                <w:rFonts w:hint="eastAsia" w:ascii="微软雅黑" w:hAnsi="微软雅黑" w:eastAsia="微软雅黑"/>
                <w:color w:val="auto"/>
                <w:sz w:val="24"/>
                <w:szCs w:val="24"/>
                <w:highlight w:val="none"/>
              </w:rPr>
              <w:t xml:space="preserve">                </w:t>
            </w:r>
            <w:r>
              <w:rPr>
                <w:rFonts w:ascii="微软雅黑" w:hAnsi="微软雅黑" w:eastAsia="微软雅黑"/>
                <w:color w:val="auto"/>
                <w:sz w:val="24"/>
                <w:szCs w:val="24"/>
                <w:highlight w:val="none"/>
              </w:rPr>
              <w:t>联系电话：</w:t>
            </w:r>
            <w:r>
              <w:rPr>
                <w:rFonts w:hint="eastAsia" w:ascii="微软雅黑" w:hAnsi="微软雅黑" w:eastAsia="微软雅黑"/>
                <w:b w:val="0"/>
                <w:bCs w:val="0"/>
                <w:color w:val="auto"/>
                <w:sz w:val="24"/>
                <w:szCs w:val="24"/>
                <w:highlight w:val="none"/>
                <w:lang w:val="en-US" w:eastAsia="zh-CN"/>
              </w:rPr>
              <w:t>13970917726</w:t>
            </w:r>
          </w:p>
        </w:tc>
      </w:tr>
      <w:tr w14:paraId="3C63D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945" w:type="dxa"/>
            <w:vAlign w:val="center"/>
          </w:tcPr>
          <w:p w14:paraId="096925E2">
            <w:pPr>
              <w:spacing w:line="400" w:lineRule="exact"/>
              <w:ind w:right="102"/>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3</w:t>
            </w:r>
          </w:p>
        </w:tc>
        <w:tc>
          <w:tcPr>
            <w:tcW w:w="8269" w:type="dxa"/>
            <w:vAlign w:val="center"/>
          </w:tcPr>
          <w:p w14:paraId="56C8E3C3">
            <w:pPr>
              <w:spacing w:line="400" w:lineRule="exact"/>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eastAsia="zh-CN"/>
              </w:rPr>
              <w:t>南昌市晨晖招投标咨询服务有限公司</w:t>
            </w:r>
          </w:p>
          <w:p w14:paraId="185A5436">
            <w:pPr>
              <w:spacing w:line="400" w:lineRule="exact"/>
              <w:rPr>
                <w:rFonts w:hint="eastAsia" w:ascii="微软雅黑" w:hAnsi="微软雅黑" w:eastAsia="微软雅黑"/>
                <w:color w:val="auto"/>
                <w:kern w:val="0"/>
                <w:sz w:val="24"/>
                <w:szCs w:val="24"/>
                <w:highlight w:val="none"/>
                <w:lang w:eastAsia="zh-CN"/>
              </w:rPr>
            </w:pPr>
            <w:r>
              <w:rPr>
                <w:rFonts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lang w:eastAsia="zh-CN"/>
              </w:rPr>
              <w:t>南昌市红谷滩新区凤凰中大道1869号东华锦城1栋601室</w:t>
            </w:r>
          </w:p>
          <w:p w14:paraId="51AA686F">
            <w:pPr>
              <w:spacing w:line="400" w:lineRule="exact"/>
              <w:rPr>
                <w:rFonts w:hint="default" w:ascii="微软雅黑" w:hAnsi="微软雅黑" w:eastAsia="微软雅黑"/>
                <w:bCs/>
                <w:snapToGrid w:val="0"/>
                <w:color w:val="auto"/>
                <w:kern w:val="0"/>
                <w:sz w:val="24"/>
                <w:szCs w:val="24"/>
                <w:highlight w:val="none"/>
                <w:lang w:val="en-US" w:eastAsia="zh-CN"/>
              </w:rPr>
            </w:pPr>
            <w:r>
              <w:rPr>
                <w:rFonts w:hint="eastAsia"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val="en-US" w:eastAsia="zh-CN"/>
              </w:rPr>
              <w:t>余女士</w:t>
            </w:r>
          </w:p>
          <w:p w14:paraId="24C00691">
            <w:pPr>
              <w:spacing w:line="400" w:lineRule="exact"/>
              <w:rPr>
                <w:rFonts w:hint="eastAsia" w:ascii="微软雅黑" w:hAnsi="微软雅黑" w:eastAsia="微软雅黑"/>
                <w:bCs/>
                <w:snapToGrid w:val="0"/>
                <w:color w:val="auto"/>
                <w:kern w:val="0"/>
                <w:sz w:val="24"/>
                <w:szCs w:val="24"/>
                <w:highlight w:val="none"/>
                <w:lang w:eastAsia="zh-CN"/>
              </w:rPr>
            </w:pPr>
            <w:r>
              <w:rPr>
                <w:rFonts w:hint="eastAsia" w:ascii="微软雅黑" w:hAnsi="微软雅黑" w:eastAsia="微软雅黑"/>
                <w:color w:val="auto"/>
                <w:sz w:val="24"/>
                <w:szCs w:val="24"/>
                <w:highlight w:val="none"/>
              </w:rPr>
              <w:t>联系电话：</w:t>
            </w:r>
            <w:r>
              <w:rPr>
                <w:rFonts w:hint="eastAsia" w:ascii="微软雅黑" w:hAnsi="微软雅黑" w:eastAsia="微软雅黑"/>
                <w:color w:val="auto"/>
                <w:sz w:val="24"/>
                <w:szCs w:val="24"/>
                <w:highlight w:val="none"/>
                <w:lang w:eastAsia="zh-CN"/>
              </w:rPr>
              <w:t>18170060466</w:t>
            </w:r>
          </w:p>
        </w:tc>
      </w:tr>
      <w:tr w14:paraId="007B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45" w:type="dxa"/>
            <w:vAlign w:val="center"/>
          </w:tcPr>
          <w:p w14:paraId="1938D423">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4</w:t>
            </w:r>
          </w:p>
        </w:tc>
        <w:tc>
          <w:tcPr>
            <w:tcW w:w="8269" w:type="dxa"/>
            <w:vAlign w:val="center"/>
          </w:tcPr>
          <w:p w14:paraId="29F3683B">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比选有效期：比选响应截止之日起90天</w:t>
            </w:r>
          </w:p>
        </w:tc>
      </w:tr>
      <w:tr w14:paraId="1C44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945" w:type="dxa"/>
            <w:tcBorders>
              <w:bottom w:val="single" w:color="auto" w:sz="4" w:space="0"/>
            </w:tcBorders>
            <w:vAlign w:val="center"/>
          </w:tcPr>
          <w:p w14:paraId="65806901">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5</w:t>
            </w:r>
          </w:p>
        </w:tc>
        <w:tc>
          <w:tcPr>
            <w:tcW w:w="8269" w:type="dxa"/>
            <w:tcBorders>
              <w:bottom w:val="single" w:color="auto" w:sz="4" w:space="0"/>
            </w:tcBorders>
            <w:vAlign w:val="center"/>
          </w:tcPr>
          <w:p w14:paraId="06F37C8F">
            <w:pPr>
              <w:tabs>
                <w:tab w:val="left" w:pos="4045"/>
              </w:tabs>
              <w:adjustRightInd w:val="0"/>
              <w:snapToGrid w:val="0"/>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比选保证金金额：</w:t>
            </w:r>
            <w:r>
              <w:rPr>
                <w:rFonts w:hint="eastAsia" w:ascii="微软雅黑" w:hAnsi="微软雅黑" w:eastAsia="微软雅黑"/>
                <w:color w:val="auto"/>
                <w:sz w:val="24"/>
                <w:szCs w:val="24"/>
                <w:highlight w:val="none"/>
                <w:lang w:val="en-US" w:eastAsia="zh-CN"/>
              </w:rPr>
              <w:t>本项目不收取</w:t>
            </w:r>
            <w:r>
              <w:rPr>
                <w:rFonts w:hint="eastAsia" w:ascii="微软雅黑" w:hAnsi="微软雅黑" w:eastAsia="微软雅黑"/>
                <w:color w:val="auto"/>
                <w:sz w:val="24"/>
                <w:szCs w:val="24"/>
                <w:highlight w:val="none"/>
              </w:rPr>
              <w:t>。</w:t>
            </w:r>
          </w:p>
          <w:p w14:paraId="46E9F96D">
            <w:pPr>
              <w:tabs>
                <w:tab w:val="left" w:pos="4045"/>
              </w:tabs>
              <w:adjustRightInd w:val="0"/>
              <w:snapToGrid w:val="0"/>
              <w:spacing w:line="400" w:lineRule="exact"/>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保证金交纳形式：银行转账</w:t>
            </w:r>
          </w:p>
          <w:p w14:paraId="13108F53">
            <w:pPr>
              <w:widowControl/>
              <w:snapToGrid w:val="0"/>
              <w:spacing w:line="400" w:lineRule="exact"/>
              <w:jc w:val="left"/>
              <w:rPr>
                <w:rFonts w:hint="eastAsia" w:ascii="微软雅黑" w:hAnsi="微软雅黑" w:eastAsia="微软雅黑"/>
                <w:color w:val="auto"/>
                <w:sz w:val="24"/>
                <w:szCs w:val="24"/>
                <w:highlight w:val="none"/>
              </w:rPr>
            </w:pPr>
            <w:r>
              <w:rPr>
                <w:rFonts w:ascii="微软雅黑" w:hAnsi="微软雅黑" w:eastAsia="微软雅黑"/>
                <w:color w:val="auto"/>
                <w:sz w:val="24"/>
                <w:szCs w:val="24"/>
                <w:highlight w:val="none"/>
              </w:rPr>
              <w:t>投标保证金应于</w:t>
            </w:r>
            <w:r>
              <w:rPr>
                <w:rFonts w:hint="eastAsia" w:ascii="微软雅黑" w:hAnsi="微软雅黑" w:eastAsia="微软雅黑"/>
                <w:color w:val="auto"/>
                <w:sz w:val="24"/>
                <w:szCs w:val="24"/>
                <w:highlight w:val="none"/>
              </w:rPr>
              <w:t>投标截止时间</w:t>
            </w:r>
            <w:r>
              <w:rPr>
                <w:rFonts w:ascii="微软雅黑" w:hAnsi="微软雅黑" w:eastAsia="微软雅黑"/>
                <w:color w:val="auto"/>
                <w:sz w:val="24"/>
                <w:szCs w:val="24"/>
                <w:highlight w:val="none"/>
              </w:rPr>
              <w:t>之前递交到</w:t>
            </w:r>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eastAsia="zh-CN"/>
              </w:rPr>
              <w:t>以</w:t>
            </w:r>
            <w:r>
              <w:rPr>
                <w:rFonts w:hint="eastAsia" w:ascii="微软雅黑" w:hAnsi="微软雅黑" w:eastAsia="微软雅黑"/>
                <w:color w:val="auto"/>
                <w:sz w:val="24"/>
                <w:szCs w:val="24"/>
                <w:highlight w:val="none"/>
              </w:rPr>
              <w:t>到账时间为准）</w:t>
            </w:r>
            <w:r>
              <w:rPr>
                <w:rFonts w:ascii="微软雅黑" w:hAnsi="微软雅黑" w:eastAsia="微软雅黑"/>
                <w:color w:val="auto"/>
                <w:sz w:val="24"/>
                <w:szCs w:val="24"/>
                <w:highlight w:val="none"/>
              </w:rPr>
              <w:t>。</w:t>
            </w:r>
          </w:p>
          <w:p w14:paraId="6F0F0612">
            <w:pPr>
              <w:widowControl/>
              <w:snapToGrid w:val="0"/>
              <w:spacing w:line="400" w:lineRule="exact"/>
              <w:jc w:val="left"/>
              <w:rPr>
                <w:rFonts w:hint="eastAsia" w:ascii="微软雅黑" w:hAnsi="微软雅黑" w:eastAsia="微软雅黑"/>
                <w:color w:val="auto"/>
                <w:sz w:val="24"/>
                <w:szCs w:val="24"/>
                <w:highlight w:val="none"/>
              </w:rPr>
            </w:pPr>
            <w:r>
              <w:rPr>
                <w:rFonts w:ascii="微软雅黑" w:hAnsi="微软雅黑" w:eastAsia="微软雅黑"/>
                <w:color w:val="auto"/>
                <w:sz w:val="24"/>
                <w:szCs w:val="24"/>
                <w:highlight w:val="none"/>
              </w:rPr>
              <w:t>注：投标保证金仅接受</w:t>
            </w:r>
            <w:r>
              <w:rPr>
                <w:rFonts w:hint="eastAsia" w:ascii="微软雅黑" w:hAnsi="微软雅黑" w:eastAsia="微软雅黑"/>
                <w:color w:val="auto"/>
                <w:sz w:val="24"/>
                <w:szCs w:val="24"/>
                <w:highlight w:val="none"/>
              </w:rPr>
              <w:t>转账</w:t>
            </w:r>
            <w:r>
              <w:rPr>
                <w:rFonts w:ascii="微软雅黑" w:hAnsi="微软雅黑" w:eastAsia="微软雅黑"/>
                <w:color w:val="auto"/>
                <w:sz w:val="24"/>
                <w:szCs w:val="24"/>
                <w:highlight w:val="none"/>
              </w:rPr>
              <w:t>或者金融机构、担保机构出具的保函</w:t>
            </w:r>
            <w:r>
              <w:rPr>
                <w:rFonts w:hint="eastAsia" w:ascii="微软雅黑" w:hAnsi="微软雅黑" w:eastAsia="微软雅黑"/>
                <w:color w:val="auto"/>
                <w:sz w:val="24"/>
                <w:szCs w:val="24"/>
                <w:highlight w:val="none"/>
              </w:rPr>
              <w:t>、保险公司出具的保证保险</w:t>
            </w:r>
            <w:r>
              <w:rPr>
                <w:rFonts w:ascii="微软雅黑" w:hAnsi="微软雅黑" w:eastAsia="微软雅黑"/>
                <w:color w:val="auto"/>
                <w:sz w:val="24"/>
                <w:szCs w:val="24"/>
                <w:highlight w:val="none"/>
              </w:rPr>
              <w:t>等非现金形式</w:t>
            </w:r>
            <w:r>
              <w:rPr>
                <w:rFonts w:hint="eastAsia" w:ascii="微软雅黑" w:hAnsi="微软雅黑" w:eastAsia="微软雅黑"/>
                <w:color w:val="auto"/>
                <w:sz w:val="24"/>
                <w:szCs w:val="24"/>
                <w:highlight w:val="none"/>
              </w:rPr>
              <w:t>缴纳</w:t>
            </w:r>
            <w:r>
              <w:rPr>
                <w:rFonts w:ascii="微软雅黑" w:hAnsi="微软雅黑" w:eastAsia="微软雅黑"/>
                <w:color w:val="auto"/>
                <w:sz w:val="24"/>
                <w:szCs w:val="24"/>
                <w:highlight w:val="none"/>
              </w:rPr>
              <w:t>。</w:t>
            </w:r>
          </w:p>
          <w:p w14:paraId="20C72A3D">
            <w:pPr>
              <w:widowControl/>
              <w:snapToGrid w:val="0"/>
              <w:spacing w:line="400" w:lineRule="exact"/>
              <w:jc w:val="lef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招标代理机构银行账户（户名：南昌市晨晖招投标咨询服务有限公司；开户银行：中信银行南昌广场南路支行；银行账号：7281710182600014358 ），汇款需注明项目名称或招标编号“</w:t>
            </w:r>
            <w:r>
              <w:rPr>
                <w:rFonts w:hint="eastAsia" w:ascii="微软雅黑" w:hAnsi="微软雅黑" w:eastAsia="微软雅黑"/>
                <w:color w:val="auto"/>
                <w:sz w:val="24"/>
                <w:szCs w:val="24"/>
                <w:highlight w:val="none"/>
                <w:lang w:eastAsia="zh-CN"/>
              </w:rPr>
              <w:t>NCCH2026-B0404-1</w:t>
            </w:r>
            <w:r>
              <w:rPr>
                <w:rFonts w:hint="eastAsia" w:ascii="微软雅黑" w:hAnsi="微软雅黑" w:eastAsia="微软雅黑"/>
                <w:color w:val="auto"/>
                <w:sz w:val="24"/>
                <w:szCs w:val="24"/>
                <w:highlight w:val="none"/>
              </w:rPr>
              <w:t>”保证金，投标保证金需从投标人基本开户行转出。</w:t>
            </w:r>
          </w:p>
          <w:p w14:paraId="47CF2923">
            <w:pPr>
              <w:widowControl/>
              <w:snapToGrid w:val="0"/>
              <w:spacing w:line="400" w:lineRule="exact"/>
              <w:jc w:val="lef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投标人未按照要求提交投标保证金的，投标无效</w:t>
            </w:r>
            <w:r>
              <w:rPr>
                <w:rFonts w:hint="eastAsia" w:hAnsi="宋体"/>
                <w:color w:val="auto"/>
                <w:sz w:val="24"/>
                <w:szCs w:val="24"/>
                <w:highlight w:val="none"/>
              </w:rPr>
              <w:t>；</w:t>
            </w:r>
            <w:r>
              <w:rPr>
                <w:rFonts w:hint="eastAsia" w:ascii="微软雅黑" w:hAnsi="微软雅黑" w:eastAsia="微软雅黑"/>
                <w:color w:val="auto"/>
                <w:sz w:val="24"/>
                <w:szCs w:val="24"/>
                <w:highlight w:val="none"/>
              </w:rPr>
              <w:t>投标</w:t>
            </w:r>
            <w:r>
              <w:rPr>
                <w:rFonts w:ascii="微软雅黑" w:hAnsi="微软雅黑" w:eastAsia="微软雅黑"/>
                <w:color w:val="auto"/>
                <w:sz w:val="24"/>
                <w:szCs w:val="24"/>
                <w:highlight w:val="none"/>
              </w:rPr>
              <w:t>保证金应在</w:t>
            </w:r>
            <w:r>
              <w:rPr>
                <w:rFonts w:hint="eastAsia" w:ascii="微软雅黑" w:hAnsi="微软雅黑" w:eastAsia="微软雅黑"/>
                <w:color w:val="auto"/>
                <w:sz w:val="24"/>
                <w:szCs w:val="24"/>
                <w:highlight w:val="none"/>
              </w:rPr>
              <w:t>投标</w:t>
            </w:r>
            <w:r>
              <w:rPr>
                <w:rFonts w:ascii="微软雅黑" w:hAnsi="微软雅黑" w:eastAsia="微软雅黑"/>
                <w:color w:val="auto"/>
                <w:sz w:val="24"/>
                <w:szCs w:val="24"/>
                <w:highlight w:val="none"/>
              </w:rPr>
              <w:t>有效期内保持有效。</w:t>
            </w:r>
          </w:p>
          <w:p w14:paraId="40A4CBF2">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1．采取转账、网上银行支付的投标保证金；投标文件中提供投标人盖章的保证金凭证原件扫描件或截图。</w:t>
            </w:r>
          </w:p>
          <w:p w14:paraId="1E53E851">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采用银行保函的，须为投标人基本账户（投标文件中提供开户许可原件扫描件）出具的“见索即付”保函（保函有效期须不少于投标有效期）或江西省辖区内商业银行出具的不可撤销、见索即付及无固定期限的独立银行保函；投标文件中须提交保函原件扫描件，保函原件在投标截止时间前单独递交到开标地点，逾时不予接受，视为未提供。</w:t>
            </w:r>
          </w:p>
          <w:p w14:paraId="12A473BE">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采用专业担保机构出具保函的，该担保机构需为南昌市辖区内信用等级AA级及以上的融资担保机构,响应文件中提供担保机构营业执照原件扫描件、专业评级机构认定的AA级及以上证书原件扫描件、该担保机构出具的“见索即付”保函原件扫描件（保函有效期须不少于投标有效期）。保函原件在投标截止时间前单独递交到开标地点，逾时不予接受，视为未提供。</w:t>
            </w:r>
          </w:p>
          <w:p w14:paraId="18D02884">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4．采用其他形式缴纳保证金的，需提供符合国家规定的相应凭证。</w:t>
            </w:r>
          </w:p>
          <w:p w14:paraId="79BD994E">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5.采用银行、保证保险的电子保单的形式需通过银行、保险公司官方网站（无需授权）验证查询；未提供投标保证金凭证、或提供的保证金凭证及资料不满足上述要求的，视为未缴纳投标保证金。</w:t>
            </w:r>
          </w:p>
          <w:p w14:paraId="7BAF9ED3">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6</w:t>
            </w:r>
            <w:r>
              <w:rPr>
                <w:rFonts w:hint="eastAsia" w:ascii="微软雅黑" w:hAnsi="微软雅黑" w:eastAsia="微软雅黑"/>
                <w:color w:val="auto"/>
                <w:sz w:val="24"/>
                <w:szCs w:val="24"/>
                <w:highlight w:val="none"/>
              </w:rPr>
              <w:t>．所有提交的保函原件在评标结束后</w:t>
            </w:r>
            <w:r>
              <w:rPr>
                <w:rFonts w:hint="eastAsia" w:ascii="微软雅黑" w:hAnsi="微软雅黑" w:eastAsia="微软雅黑"/>
                <w:color w:val="auto"/>
                <w:sz w:val="24"/>
                <w:szCs w:val="24"/>
                <w:highlight w:val="none"/>
                <w:lang w:val="en-US" w:eastAsia="zh-CN"/>
              </w:rPr>
              <w:t>由招标人</w:t>
            </w:r>
            <w:r>
              <w:rPr>
                <w:rFonts w:hint="eastAsia" w:ascii="微软雅黑" w:hAnsi="微软雅黑" w:eastAsia="微软雅黑"/>
                <w:color w:val="auto"/>
                <w:sz w:val="24"/>
                <w:szCs w:val="24"/>
                <w:highlight w:val="none"/>
              </w:rPr>
              <w:t>留存，且不予退回。</w:t>
            </w:r>
          </w:p>
        </w:tc>
      </w:tr>
      <w:tr w14:paraId="4D241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45" w:type="dxa"/>
            <w:tcBorders>
              <w:bottom w:val="single" w:color="auto" w:sz="4" w:space="0"/>
            </w:tcBorders>
            <w:vAlign w:val="center"/>
          </w:tcPr>
          <w:p w14:paraId="48E1B2E9">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6</w:t>
            </w:r>
          </w:p>
        </w:tc>
        <w:tc>
          <w:tcPr>
            <w:tcW w:w="8269" w:type="dxa"/>
            <w:vAlign w:val="center"/>
          </w:tcPr>
          <w:p w14:paraId="67D3B2D7">
            <w:pPr>
              <w:pStyle w:val="12"/>
              <w:adjustRightInd w:val="0"/>
              <w:snapToGrid w:val="0"/>
              <w:rPr>
                <w:rFonts w:hint="eastAsia"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比选响应文件份数：</w:t>
            </w:r>
            <w:r>
              <w:rPr>
                <w:rFonts w:hint="eastAsia" w:ascii="微软雅黑" w:hAnsi="微软雅黑" w:eastAsia="微软雅黑"/>
                <w:color w:val="auto"/>
                <w:sz w:val="24"/>
                <w:szCs w:val="24"/>
                <w:highlight w:val="none"/>
              </w:rPr>
              <w:t>正本1份，副本4份；投标文件全部内容的U盘1份（应标明项目名称及参选人单位名称）。</w:t>
            </w:r>
          </w:p>
          <w:p w14:paraId="08C9177C">
            <w:pPr>
              <w:pStyle w:val="12"/>
              <w:adjustRightInd w:val="0"/>
              <w:snapToGrid w:val="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电子文档格式：1）文字DOC格式，单独的表格文件为XLS格式，图片为JPG格式，图纸为DWG格式（附必要支持文件）；2）另须提供所有投标文件PDF格式版本（盖章后）；3）电子版内容须与纸质版相同。</w:t>
            </w:r>
          </w:p>
          <w:p w14:paraId="589D74E7">
            <w:pPr>
              <w:spacing w:line="400" w:lineRule="exact"/>
              <w:rPr>
                <w:rFonts w:ascii="微软雅黑" w:hAnsi="微软雅黑" w:eastAsia="微软雅黑"/>
                <w:color w:val="auto"/>
                <w:sz w:val="24"/>
                <w:szCs w:val="24"/>
                <w:highlight w:val="none"/>
              </w:rPr>
            </w:pPr>
            <w:r>
              <w:rPr>
                <w:rFonts w:hint="eastAsia" w:ascii="微软雅黑" w:hAnsi="微软雅黑" w:eastAsia="微软雅黑"/>
                <w:b/>
                <w:bCs/>
                <w:color w:val="auto"/>
                <w:sz w:val="24"/>
                <w:szCs w:val="24"/>
                <w:highlight w:val="none"/>
              </w:rPr>
              <w:t>注：所有纸制投标文件必须胶装并密封递交，否则视为无效投标。</w:t>
            </w:r>
          </w:p>
        </w:tc>
      </w:tr>
      <w:tr w14:paraId="7008C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 w:type="dxa"/>
            <w:tcBorders>
              <w:bottom w:val="single" w:color="auto" w:sz="4" w:space="0"/>
            </w:tcBorders>
            <w:vAlign w:val="center"/>
          </w:tcPr>
          <w:p w14:paraId="19E8E520">
            <w:pPr>
              <w:spacing w:line="400" w:lineRule="exact"/>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7</w:t>
            </w:r>
          </w:p>
        </w:tc>
        <w:tc>
          <w:tcPr>
            <w:tcW w:w="8269" w:type="dxa"/>
            <w:vAlign w:val="center"/>
          </w:tcPr>
          <w:p w14:paraId="305EA49D">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比选时间：详见比选邀请</w:t>
            </w:r>
          </w:p>
          <w:p w14:paraId="16D3E961">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比选地点：详见比选邀请</w:t>
            </w:r>
          </w:p>
        </w:tc>
      </w:tr>
      <w:tr w14:paraId="63E2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945" w:type="dxa"/>
            <w:tcBorders>
              <w:bottom w:val="single" w:color="auto" w:sz="4" w:space="0"/>
            </w:tcBorders>
            <w:vAlign w:val="center"/>
          </w:tcPr>
          <w:p w14:paraId="10D96E09">
            <w:pPr>
              <w:spacing w:line="400" w:lineRule="exact"/>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p>
        </w:tc>
        <w:tc>
          <w:tcPr>
            <w:tcW w:w="8269" w:type="dxa"/>
            <w:vAlign w:val="center"/>
          </w:tcPr>
          <w:p w14:paraId="02A8C157">
            <w:pPr>
              <w:spacing w:line="400" w:lineRule="exact"/>
              <w:rPr>
                <w:rFonts w:ascii="微软雅黑" w:hAnsi="微软雅黑" w:eastAsia="微软雅黑"/>
                <w:color w:val="auto"/>
                <w:sz w:val="24"/>
                <w:szCs w:val="24"/>
                <w:highlight w:val="none"/>
              </w:rPr>
            </w:pPr>
            <w:r>
              <w:rPr>
                <w:rFonts w:hint="eastAsia" w:ascii="微软雅黑" w:hAnsi="微软雅黑" w:eastAsia="微软雅黑"/>
                <w:bCs/>
                <w:color w:val="auto"/>
                <w:sz w:val="24"/>
                <w:szCs w:val="24"/>
                <w:highlight w:val="none"/>
              </w:rPr>
              <w:t>比选</w:t>
            </w:r>
            <w:r>
              <w:rPr>
                <w:rFonts w:ascii="微软雅黑" w:hAnsi="微软雅黑" w:eastAsia="微软雅黑"/>
                <w:bCs/>
                <w:color w:val="auto"/>
                <w:sz w:val="24"/>
                <w:szCs w:val="24"/>
                <w:highlight w:val="none"/>
              </w:rPr>
              <w:t>因素和比选方法</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详见比选文件。</w:t>
            </w:r>
          </w:p>
        </w:tc>
      </w:tr>
      <w:tr w14:paraId="0C13D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45" w:type="dxa"/>
            <w:vAlign w:val="center"/>
          </w:tcPr>
          <w:p w14:paraId="76DFBC0D">
            <w:pPr>
              <w:spacing w:line="400" w:lineRule="exact"/>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9</w:t>
            </w:r>
          </w:p>
        </w:tc>
        <w:tc>
          <w:tcPr>
            <w:tcW w:w="8269" w:type="dxa"/>
            <w:vAlign w:val="center"/>
          </w:tcPr>
          <w:p w14:paraId="176038F0">
            <w:pPr>
              <w:spacing w:line="400" w:lineRule="exact"/>
              <w:rPr>
                <w:rFonts w:hint="eastAsia" w:ascii="微软雅黑" w:hAnsi="微软雅黑" w:eastAsia="微软雅黑"/>
                <w:b/>
                <w:bCs/>
                <w:color w:val="auto"/>
                <w:sz w:val="24"/>
                <w:szCs w:val="24"/>
                <w:highlight w:val="none"/>
                <w:lang w:eastAsia="zh-CN"/>
              </w:rPr>
            </w:pPr>
            <w:r>
              <w:rPr>
                <w:rFonts w:hint="eastAsia" w:ascii="微软雅黑" w:hAnsi="微软雅黑" w:eastAsia="微软雅黑"/>
                <w:b/>
                <w:bCs/>
                <w:color w:val="auto"/>
                <w:sz w:val="24"/>
                <w:szCs w:val="24"/>
                <w:highlight w:val="none"/>
              </w:rPr>
              <w:t>履约保证金：</w:t>
            </w:r>
            <w:r>
              <w:rPr>
                <w:rFonts w:hint="eastAsia" w:ascii="微软雅黑" w:hAnsi="微软雅黑" w:eastAsia="微软雅黑"/>
                <w:b/>
                <w:bCs/>
                <w:color w:val="auto"/>
                <w:sz w:val="24"/>
                <w:szCs w:val="24"/>
                <w:highlight w:val="none"/>
                <w:lang w:val="en-US" w:eastAsia="zh-CN"/>
              </w:rPr>
              <w:t>无</w:t>
            </w:r>
          </w:p>
        </w:tc>
      </w:tr>
      <w:tr w14:paraId="723D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45" w:type="dxa"/>
            <w:vAlign w:val="center"/>
          </w:tcPr>
          <w:p w14:paraId="273390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w:t>
            </w:r>
          </w:p>
        </w:tc>
        <w:tc>
          <w:tcPr>
            <w:tcW w:w="8269" w:type="dxa"/>
            <w:vAlign w:val="center"/>
          </w:tcPr>
          <w:p w14:paraId="62C119D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微软雅黑" w:hAnsi="微软雅黑" w:eastAsia="微软雅黑"/>
                <w:bCs/>
                <w:color w:val="auto"/>
                <w:sz w:val="24"/>
                <w:szCs w:val="24"/>
                <w:highlight w:val="none"/>
              </w:rPr>
            </w:pPr>
            <w:r>
              <w:rPr>
                <w:rFonts w:ascii="微软雅黑" w:hAnsi="微软雅黑" w:eastAsia="微软雅黑"/>
                <w:bCs/>
                <w:color w:val="auto"/>
                <w:sz w:val="24"/>
                <w:szCs w:val="24"/>
                <w:highlight w:val="none"/>
              </w:rPr>
              <w:t>代理服务费：</w:t>
            </w:r>
          </w:p>
          <w:p w14:paraId="6BC09C6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招标服务代理费</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人民币</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en-US" w:eastAsia="zh-CN"/>
              </w:rPr>
              <w:t>执行“发改价格[2011]534号”文规定的服务类收费标准按4.9折且上限为五万元计取,中选人在领取中选通知书时，一次性支付给招标代理机构。</w:t>
            </w:r>
          </w:p>
          <w:p w14:paraId="0879188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微软雅黑" w:hAnsi="微软雅黑" w:eastAsia="微软雅黑"/>
                <w:bCs/>
                <w:color w:val="auto"/>
                <w:sz w:val="24"/>
                <w:szCs w:val="24"/>
                <w:highlight w:val="none"/>
              </w:rPr>
            </w:pP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lang w:eastAsia="zh-CN"/>
              </w:rPr>
              <w:t>中选人</w:t>
            </w:r>
            <w:r>
              <w:rPr>
                <w:rFonts w:hint="eastAsia" w:ascii="微软雅黑" w:hAnsi="微软雅黑" w:eastAsia="微软雅黑" w:cs="微软雅黑"/>
                <w:color w:val="auto"/>
                <w:sz w:val="24"/>
                <w:szCs w:val="24"/>
                <w:highlight w:val="none"/>
              </w:rPr>
              <w:t>在</w:t>
            </w:r>
            <w:r>
              <w:rPr>
                <w:rFonts w:hint="eastAsia" w:ascii="微软雅黑" w:hAnsi="微软雅黑" w:eastAsia="微软雅黑" w:cs="微软雅黑"/>
                <w:color w:val="auto"/>
                <w:sz w:val="24"/>
                <w:szCs w:val="24"/>
                <w:highlight w:val="none"/>
                <w:lang w:val="en-US" w:eastAsia="zh-CN"/>
              </w:rPr>
              <w:t>中选</w:t>
            </w:r>
            <w:r>
              <w:rPr>
                <w:rFonts w:hint="eastAsia" w:ascii="微软雅黑" w:hAnsi="微软雅黑" w:eastAsia="微软雅黑" w:cs="微软雅黑"/>
                <w:color w:val="auto"/>
                <w:sz w:val="24"/>
                <w:szCs w:val="24"/>
                <w:highlight w:val="none"/>
              </w:rPr>
              <w:t>通知书发出时，应向采购代理机构一次性付清</w:t>
            </w:r>
            <w:r>
              <w:rPr>
                <w:rFonts w:hint="eastAsia" w:ascii="微软雅黑" w:hAnsi="微软雅黑" w:eastAsia="微软雅黑" w:cs="微软雅黑"/>
                <w:color w:val="auto"/>
                <w:sz w:val="24"/>
                <w:szCs w:val="24"/>
                <w:highlight w:val="none"/>
                <w:lang w:val="en-US" w:eastAsia="zh-CN"/>
              </w:rPr>
              <w:t>代理服务费</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在领取代理服务费发票时提供一份</w:t>
            </w:r>
            <w:r>
              <w:rPr>
                <w:rFonts w:hint="eastAsia" w:ascii="微软雅黑" w:hAnsi="微软雅黑" w:eastAsia="微软雅黑" w:cs="微软雅黑"/>
                <w:color w:val="auto"/>
                <w:sz w:val="24"/>
                <w:szCs w:val="24"/>
                <w:highlight w:val="none"/>
                <w:lang w:eastAsia="zh-CN"/>
              </w:rPr>
              <w:t>服务</w:t>
            </w:r>
            <w:r>
              <w:rPr>
                <w:rFonts w:hint="eastAsia" w:ascii="微软雅黑" w:hAnsi="微软雅黑" w:eastAsia="微软雅黑" w:cs="微软雅黑"/>
                <w:color w:val="auto"/>
                <w:sz w:val="24"/>
                <w:szCs w:val="24"/>
                <w:highlight w:val="none"/>
              </w:rPr>
              <w:t>合同。</w:t>
            </w:r>
          </w:p>
        </w:tc>
      </w:tr>
    </w:tbl>
    <w:p w14:paraId="0358B370">
      <w:pPr>
        <w:rPr>
          <w:color w:val="auto"/>
          <w:highlight w:val="none"/>
        </w:rPr>
      </w:pPr>
      <w:bookmarkStart w:id="37" w:name="_Hlt519045778"/>
      <w:bookmarkEnd w:id="37"/>
      <w:bookmarkStart w:id="38" w:name="_Hlt526418143"/>
      <w:bookmarkEnd w:id="38"/>
      <w:bookmarkStart w:id="39" w:name="_Hlt509650955"/>
      <w:bookmarkEnd w:id="39"/>
      <w:bookmarkStart w:id="40" w:name="_Hlt509649722"/>
      <w:bookmarkEnd w:id="40"/>
      <w:bookmarkStart w:id="41" w:name="_Hlt509650686"/>
      <w:bookmarkEnd w:id="41"/>
      <w:bookmarkStart w:id="42" w:name="_Hlt509650027"/>
      <w:bookmarkEnd w:id="42"/>
      <w:bookmarkStart w:id="43" w:name="_Hlt509649998"/>
      <w:bookmarkEnd w:id="43"/>
      <w:bookmarkStart w:id="44" w:name="_Hlt509650126"/>
      <w:bookmarkEnd w:id="44"/>
      <w:bookmarkStart w:id="45" w:name="_Toc147282124"/>
    </w:p>
    <w:p w14:paraId="1FD45B52">
      <w:pPr>
        <w:pStyle w:val="4"/>
        <w:numPr>
          <w:ilvl w:val="0"/>
          <w:numId w:val="2"/>
        </w:numPr>
        <w:spacing w:line="480" w:lineRule="exact"/>
        <w:rPr>
          <w:rFonts w:ascii="微软雅黑" w:hAnsi="微软雅黑" w:eastAsia="微软雅黑"/>
          <w:color w:val="auto"/>
          <w:sz w:val="36"/>
          <w:szCs w:val="36"/>
          <w:highlight w:val="none"/>
        </w:rPr>
      </w:pPr>
      <w:bookmarkStart w:id="46" w:name="_Toc4929"/>
      <w:bookmarkStart w:id="47" w:name="_Toc8376286"/>
      <w:r>
        <w:rPr>
          <w:rFonts w:hint="eastAsia" w:ascii="微软雅黑" w:hAnsi="微软雅黑" w:eastAsia="微软雅黑"/>
          <w:color w:val="auto"/>
          <w:sz w:val="36"/>
          <w:szCs w:val="36"/>
          <w:highlight w:val="none"/>
        </w:rPr>
        <w:t>总  则</w:t>
      </w:r>
      <w:bookmarkEnd w:id="45"/>
      <w:bookmarkEnd w:id="46"/>
      <w:bookmarkEnd w:id="47"/>
    </w:p>
    <w:p w14:paraId="37E2ADDD">
      <w:pPr>
        <w:pStyle w:val="4"/>
        <w:spacing w:line="480" w:lineRule="exact"/>
        <w:jc w:val="both"/>
        <w:rPr>
          <w:rFonts w:ascii="微软雅黑" w:hAnsi="微软雅黑" w:eastAsia="微软雅黑"/>
          <w:color w:val="auto"/>
          <w:sz w:val="28"/>
          <w:szCs w:val="28"/>
          <w:highlight w:val="none"/>
        </w:rPr>
      </w:pPr>
      <w:bookmarkStart w:id="48" w:name="_Toc8376287"/>
      <w:bookmarkStart w:id="49" w:name="_Toc6224"/>
      <w:r>
        <w:rPr>
          <w:rFonts w:ascii="微软雅黑" w:hAnsi="微软雅黑" w:eastAsia="微软雅黑"/>
          <w:color w:val="auto"/>
          <w:sz w:val="28"/>
          <w:szCs w:val="28"/>
          <w:highlight w:val="none"/>
        </w:rPr>
        <w:t>1</w:t>
      </w:r>
      <w:r>
        <w:rPr>
          <w:rFonts w:hint="eastAsia" w:ascii="微软雅黑" w:hAnsi="微软雅黑" w:eastAsia="微软雅黑"/>
          <w:color w:val="auto"/>
          <w:sz w:val="28"/>
          <w:szCs w:val="28"/>
          <w:highlight w:val="none"/>
        </w:rPr>
        <w:t>、</w:t>
      </w:r>
      <w:bookmarkEnd w:id="48"/>
      <w:r>
        <w:rPr>
          <w:rFonts w:hint="eastAsia" w:ascii="微软雅黑" w:hAnsi="微软雅黑" w:eastAsia="微软雅黑"/>
          <w:color w:val="auto"/>
          <w:sz w:val="28"/>
          <w:szCs w:val="28"/>
          <w:highlight w:val="none"/>
        </w:rPr>
        <w:t>适用范围</w:t>
      </w:r>
      <w:bookmarkEnd w:id="49"/>
    </w:p>
    <w:p w14:paraId="209D005C">
      <w:pPr>
        <w:spacing w:line="480" w:lineRule="exact"/>
        <w:ind w:firstLine="549"/>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1本比选文件仅适用于本次比选邀请中所叙述的采购项目。</w:t>
      </w:r>
    </w:p>
    <w:p w14:paraId="5E7EBE53">
      <w:pPr>
        <w:pStyle w:val="4"/>
        <w:spacing w:line="480" w:lineRule="exact"/>
        <w:jc w:val="both"/>
        <w:rPr>
          <w:rFonts w:ascii="微软雅黑" w:hAnsi="微软雅黑" w:eastAsia="微软雅黑"/>
          <w:color w:val="auto"/>
          <w:sz w:val="28"/>
          <w:szCs w:val="28"/>
          <w:highlight w:val="none"/>
        </w:rPr>
      </w:pPr>
      <w:bookmarkStart w:id="50" w:name="_Toc6234891"/>
      <w:bookmarkStart w:id="51" w:name="_Toc6239398"/>
      <w:bookmarkStart w:id="52" w:name="_Toc4783"/>
      <w:bookmarkStart w:id="53" w:name="_Toc6236199"/>
      <w:r>
        <w:rPr>
          <w:rFonts w:hint="eastAsia" w:ascii="微软雅黑" w:hAnsi="微软雅黑" w:eastAsia="微软雅黑"/>
          <w:color w:val="auto"/>
          <w:sz w:val="28"/>
          <w:szCs w:val="28"/>
          <w:highlight w:val="none"/>
        </w:rPr>
        <w:t>2、定义</w:t>
      </w:r>
      <w:bookmarkEnd w:id="50"/>
      <w:bookmarkEnd w:id="51"/>
      <w:bookmarkEnd w:id="52"/>
      <w:bookmarkEnd w:id="53"/>
    </w:p>
    <w:p w14:paraId="7BDCA21D">
      <w:pPr>
        <w:ind w:firstLine="424" w:firstLineChars="177"/>
        <w:rPr>
          <w:rFonts w:ascii="微软雅黑" w:hAnsi="微软雅黑" w:eastAsia="微软雅黑"/>
          <w:color w:val="auto"/>
          <w:sz w:val="24"/>
          <w:szCs w:val="24"/>
          <w:highlight w:val="none"/>
        </w:rPr>
      </w:pPr>
      <w:bookmarkStart w:id="54" w:name="_Toc2784033"/>
      <w:bookmarkStart w:id="55" w:name="_Toc2783415"/>
      <w:r>
        <w:rPr>
          <w:rFonts w:ascii="微软雅黑" w:hAnsi="微软雅黑" w:eastAsia="微软雅黑"/>
          <w:color w:val="auto"/>
          <w:sz w:val="24"/>
          <w:szCs w:val="24"/>
          <w:highlight w:val="none"/>
        </w:rPr>
        <w:t>2.1</w:t>
      </w:r>
      <w:r>
        <w:rPr>
          <w:rFonts w:hint="eastAsia" w:ascii="微软雅黑" w:hAnsi="微软雅黑" w:eastAsia="微软雅黑"/>
          <w:color w:val="auto"/>
          <w:sz w:val="24"/>
          <w:szCs w:val="24"/>
          <w:highlight w:val="none"/>
        </w:rPr>
        <w:t>采购方：</w:t>
      </w:r>
      <w:r>
        <w:rPr>
          <w:rFonts w:hint="eastAsia" w:ascii="微软雅黑" w:hAnsi="微软雅黑" w:eastAsia="微软雅黑"/>
          <w:color w:val="auto"/>
          <w:sz w:val="24"/>
          <w:szCs w:val="24"/>
          <w:highlight w:val="none"/>
          <w:lang w:eastAsia="zh-CN"/>
        </w:rPr>
        <w:t>南昌红鼎文化产业运营有限公司</w:t>
      </w:r>
      <w:r>
        <w:rPr>
          <w:rFonts w:hint="eastAsia" w:ascii="微软雅黑" w:hAnsi="微软雅黑" w:eastAsia="微软雅黑"/>
          <w:color w:val="auto"/>
          <w:sz w:val="24"/>
          <w:szCs w:val="24"/>
          <w:highlight w:val="none"/>
        </w:rPr>
        <w:t>。</w:t>
      </w:r>
      <w:bookmarkEnd w:id="54"/>
      <w:bookmarkEnd w:id="55"/>
    </w:p>
    <w:p w14:paraId="06CFE139">
      <w:pPr>
        <w:ind w:firstLine="424" w:firstLineChars="177"/>
        <w:rPr>
          <w:rFonts w:ascii="微软雅黑" w:hAnsi="微软雅黑" w:eastAsia="微软雅黑"/>
          <w:color w:val="auto"/>
          <w:sz w:val="24"/>
          <w:szCs w:val="24"/>
          <w:highlight w:val="none"/>
        </w:rPr>
      </w:pPr>
      <w:bookmarkStart w:id="56" w:name="_Toc2784034"/>
      <w:bookmarkStart w:id="57" w:name="_Toc2783416"/>
      <w:r>
        <w:rPr>
          <w:rFonts w:ascii="微软雅黑" w:hAnsi="微软雅黑" w:eastAsia="微软雅黑"/>
          <w:color w:val="auto"/>
          <w:sz w:val="24"/>
          <w:szCs w:val="24"/>
          <w:highlight w:val="none"/>
        </w:rPr>
        <w:t>2.2</w:t>
      </w:r>
      <w:r>
        <w:rPr>
          <w:rFonts w:hint="eastAsia" w:ascii="微软雅黑" w:hAnsi="微软雅黑" w:eastAsia="微软雅黑"/>
          <w:color w:val="auto"/>
          <w:sz w:val="24"/>
          <w:szCs w:val="24"/>
          <w:highlight w:val="none"/>
        </w:rPr>
        <w:t>采购代理机构：系指根据采购人的委托依法办理本次采购事宜的采购代理机构。本项目采购代理机构详见供应商须知前附表。</w:t>
      </w:r>
      <w:bookmarkEnd w:id="56"/>
      <w:bookmarkEnd w:id="57"/>
    </w:p>
    <w:p w14:paraId="6D773E3E">
      <w:pPr>
        <w:ind w:firstLine="424" w:firstLineChars="177"/>
        <w:rPr>
          <w:rFonts w:ascii="微软雅黑" w:hAnsi="微软雅黑" w:eastAsia="微软雅黑"/>
          <w:color w:val="auto"/>
          <w:sz w:val="24"/>
          <w:szCs w:val="24"/>
          <w:highlight w:val="none"/>
        </w:rPr>
      </w:pPr>
      <w:bookmarkStart w:id="58" w:name="_Toc2783417"/>
      <w:bookmarkStart w:id="59" w:name="_Toc2784035"/>
      <w:r>
        <w:rPr>
          <w:rFonts w:hint="eastAsia" w:ascii="微软雅黑" w:hAnsi="微软雅黑" w:eastAsia="微软雅黑"/>
          <w:color w:val="auto"/>
          <w:sz w:val="24"/>
          <w:szCs w:val="24"/>
          <w:highlight w:val="none"/>
        </w:rPr>
        <w:t>2.3供应商：系指符合本比选文件规定参加比选的供应商。</w:t>
      </w:r>
      <w:bookmarkEnd w:id="58"/>
      <w:bookmarkEnd w:id="59"/>
    </w:p>
    <w:p w14:paraId="462578D8">
      <w:pPr>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2.4供应商代表：指全权代表供应商参加比选活动并签署比选响应文件的人。如果供应商代表不是法定代表人，须持有《法定代表人授权书》。</w:t>
      </w:r>
    </w:p>
    <w:p w14:paraId="419D1784">
      <w:pPr>
        <w:pStyle w:val="4"/>
        <w:spacing w:line="480" w:lineRule="exact"/>
        <w:jc w:val="both"/>
        <w:rPr>
          <w:rFonts w:ascii="微软雅黑" w:hAnsi="微软雅黑" w:eastAsia="微软雅黑"/>
          <w:color w:val="auto"/>
          <w:sz w:val="28"/>
          <w:szCs w:val="28"/>
          <w:highlight w:val="none"/>
        </w:rPr>
      </w:pPr>
      <w:bookmarkStart w:id="60" w:name="_Toc26080"/>
      <w:bookmarkStart w:id="61" w:name="_Toc8376288"/>
      <w:r>
        <w:rPr>
          <w:rFonts w:hint="eastAsia" w:ascii="微软雅黑" w:hAnsi="微软雅黑" w:eastAsia="微软雅黑"/>
          <w:color w:val="auto"/>
          <w:sz w:val="28"/>
          <w:szCs w:val="28"/>
          <w:highlight w:val="none"/>
        </w:rPr>
        <w:t>3、比选费用</w:t>
      </w:r>
      <w:bookmarkEnd w:id="60"/>
      <w:bookmarkEnd w:id="61"/>
    </w:p>
    <w:p w14:paraId="6A4EDE0C">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3.1供应商应自行承担其编制与递交比选响应文件所涉及的一切费用，无论响应结果如何，采购代理机构和采购人均无义务和责任承担这些费用。</w:t>
      </w:r>
    </w:p>
    <w:p w14:paraId="448A0274">
      <w:pPr>
        <w:pStyle w:val="4"/>
        <w:spacing w:line="480" w:lineRule="exact"/>
        <w:jc w:val="both"/>
        <w:rPr>
          <w:rFonts w:ascii="微软雅黑" w:hAnsi="微软雅黑" w:eastAsia="微软雅黑"/>
          <w:color w:val="auto"/>
          <w:sz w:val="28"/>
          <w:szCs w:val="28"/>
          <w:highlight w:val="none"/>
        </w:rPr>
      </w:pPr>
      <w:bookmarkStart w:id="62" w:name="_Toc8376289"/>
      <w:bookmarkStart w:id="63" w:name="_Toc18576"/>
      <w:r>
        <w:rPr>
          <w:rFonts w:hint="eastAsia" w:ascii="微软雅黑" w:hAnsi="微软雅黑" w:eastAsia="微软雅黑"/>
          <w:color w:val="auto"/>
          <w:sz w:val="28"/>
          <w:szCs w:val="28"/>
          <w:highlight w:val="none"/>
        </w:rPr>
        <w:t>4、合格的供应商</w:t>
      </w:r>
      <w:bookmarkEnd w:id="62"/>
      <w:bookmarkEnd w:id="63"/>
    </w:p>
    <w:p w14:paraId="3C58274E">
      <w:pPr>
        <w:spacing w:line="480" w:lineRule="exact"/>
        <w:ind w:firstLine="424" w:firstLineChars="177"/>
        <w:rPr>
          <w:rFonts w:ascii="微软雅黑" w:hAnsi="微软雅黑" w:eastAsia="微软雅黑"/>
          <w:color w:val="auto"/>
          <w:sz w:val="24"/>
          <w:szCs w:val="24"/>
          <w:highlight w:val="none"/>
        </w:rPr>
      </w:pPr>
      <w:bookmarkStart w:id="64" w:name="_Hlt509649791"/>
      <w:bookmarkEnd w:id="64"/>
      <w:bookmarkStart w:id="65" w:name="_Hlt509649669"/>
      <w:bookmarkEnd w:id="65"/>
      <w:bookmarkStart w:id="66" w:name="_Hlt509649930"/>
      <w:bookmarkEnd w:id="66"/>
      <w:bookmarkStart w:id="67" w:name="_Hlt509650961"/>
      <w:bookmarkEnd w:id="67"/>
      <w:bookmarkStart w:id="68" w:name="_Hlt509649330"/>
      <w:bookmarkEnd w:id="68"/>
      <w:bookmarkStart w:id="69" w:name="_Hlt509649795"/>
      <w:bookmarkEnd w:id="69"/>
      <w:bookmarkStart w:id="70" w:name="_Hlt509650361"/>
      <w:bookmarkEnd w:id="70"/>
      <w:bookmarkStart w:id="71" w:name="_Hlt509650929"/>
      <w:bookmarkEnd w:id="71"/>
      <w:bookmarkStart w:id="72" w:name="_Hlt509650103"/>
      <w:bookmarkEnd w:id="72"/>
      <w:bookmarkStart w:id="73" w:name="_Hlt509650734"/>
      <w:bookmarkEnd w:id="73"/>
      <w:bookmarkStart w:id="74" w:name="_Hlt509650932"/>
      <w:bookmarkEnd w:id="74"/>
      <w:bookmarkStart w:id="75" w:name="_Hlt509650333"/>
      <w:bookmarkEnd w:id="75"/>
      <w:bookmarkStart w:id="76" w:name="_Hlt509650116"/>
      <w:bookmarkEnd w:id="76"/>
      <w:bookmarkStart w:id="77" w:name="_Hlt509649645"/>
      <w:bookmarkEnd w:id="77"/>
      <w:bookmarkStart w:id="78" w:name="_Hlt526418153"/>
      <w:bookmarkEnd w:id="78"/>
      <w:bookmarkStart w:id="79" w:name="_Hlt509650936"/>
      <w:bookmarkEnd w:id="79"/>
      <w:bookmarkStart w:id="80" w:name="_Hlt509650690"/>
      <w:bookmarkEnd w:id="80"/>
      <w:bookmarkStart w:id="81" w:name="_Hlt509649678"/>
      <w:bookmarkEnd w:id="81"/>
      <w:r>
        <w:rPr>
          <w:rFonts w:hint="eastAsia" w:ascii="微软雅黑" w:hAnsi="微软雅黑" w:eastAsia="微软雅黑"/>
          <w:color w:val="auto"/>
          <w:sz w:val="24"/>
          <w:szCs w:val="24"/>
          <w:highlight w:val="none"/>
        </w:rPr>
        <w:t>4.1 供应商的资格条件：详见“比选邀请”</w:t>
      </w:r>
    </w:p>
    <w:p w14:paraId="68F9B0B0">
      <w:pPr>
        <w:spacing w:line="480" w:lineRule="exact"/>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4.2供应商应按照比选文件的要求编制比选响应文件。比选响应文件应当对比选文件提出的要求和条件做出实质性响应。</w:t>
      </w:r>
    </w:p>
    <w:p w14:paraId="675AB786">
      <w:pPr>
        <w:spacing w:line="480" w:lineRule="exact"/>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4.3已按规定交纳比选保证金。</w:t>
      </w:r>
    </w:p>
    <w:p w14:paraId="2B1C6E4B">
      <w:pPr>
        <w:spacing w:line="480" w:lineRule="exact"/>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4</w:t>
      </w:r>
      <w:r>
        <w:rPr>
          <w:rFonts w:hint="eastAsia" w:ascii="微软雅黑" w:hAnsi="微软雅黑" w:eastAsia="微软雅黑"/>
          <w:color w:val="auto"/>
          <w:sz w:val="24"/>
          <w:szCs w:val="24"/>
          <w:highlight w:val="none"/>
        </w:rPr>
        <w:t>单位负责人为同一人或者存在直接控股、管理关系的不同供应商，不得参加同一合同项下的采购活动。</w:t>
      </w:r>
    </w:p>
    <w:p w14:paraId="246C7E7D">
      <w:pPr>
        <w:spacing w:line="480" w:lineRule="exact"/>
        <w:ind w:firstLine="424" w:firstLineChars="177"/>
        <w:rPr>
          <w:rFonts w:ascii="微软雅黑" w:hAnsi="微软雅黑" w:eastAsia="微软雅黑"/>
          <w:color w:val="auto"/>
          <w:highlight w:val="none"/>
        </w:rPr>
      </w:pP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5</w:t>
      </w:r>
      <w:r>
        <w:rPr>
          <w:rFonts w:hint="eastAsia" w:ascii="微软雅黑" w:hAnsi="微软雅黑" w:eastAsia="微软雅黑"/>
          <w:color w:val="auto"/>
          <w:sz w:val="24"/>
          <w:szCs w:val="24"/>
          <w:highlight w:val="none"/>
        </w:rPr>
        <w:t>为采购项目提供整体设计、规范编制或者项目管理、监理、检测等服务的供应商，不得再参加本项目的采购活动。</w:t>
      </w:r>
    </w:p>
    <w:p w14:paraId="417D89CF">
      <w:pPr>
        <w:pStyle w:val="4"/>
        <w:numPr>
          <w:ilvl w:val="2"/>
          <w:numId w:val="3"/>
        </w:numPr>
        <w:spacing w:line="480" w:lineRule="exact"/>
        <w:ind w:left="0" w:firstLine="0"/>
        <w:rPr>
          <w:rFonts w:ascii="微软雅黑" w:hAnsi="微软雅黑" w:eastAsia="微软雅黑" w:cs="宋体"/>
          <w:color w:val="auto"/>
          <w:sz w:val="36"/>
          <w:szCs w:val="36"/>
          <w:highlight w:val="none"/>
        </w:rPr>
      </w:pPr>
      <w:bookmarkStart w:id="82" w:name="_Toc25128"/>
      <w:r>
        <w:rPr>
          <w:rFonts w:hint="eastAsia" w:ascii="微软雅黑" w:hAnsi="微软雅黑" w:eastAsia="微软雅黑" w:cs="宋体"/>
          <w:color w:val="auto"/>
          <w:sz w:val="36"/>
          <w:szCs w:val="36"/>
          <w:highlight w:val="none"/>
        </w:rPr>
        <w:t>比选文件</w:t>
      </w:r>
      <w:bookmarkEnd w:id="82"/>
    </w:p>
    <w:p w14:paraId="75D37C26">
      <w:pPr>
        <w:pStyle w:val="4"/>
        <w:spacing w:line="480" w:lineRule="exact"/>
        <w:jc w:val="both"/>
        <w:rPr>
          <w:rFonts w:ascii="微软雅黑" w:hAnsi="微软雅黑" w:eastAsia="微软雅黑"/>
          <w:color w:val="auto"/>
          <w:sz w:val="28"/>
          <w:szCs w:val="28"/>
          <w:highlight w:val="none"/>
        </w:rPr>
      </w:pPr>
      <w:bookmarkStart w:id="83" w:name="_Toc8376291"/>
      <w:bookmarkStart w:id="84" w:name="_Toc3352"/>
      <w:r>
        <w:rPr>
          <w:rFonts w:hint="eastAsia" w:ascii="微软雅黑" w:hAnsi="微软雅黑" w:eastAsia="微软雅黑"/>
          <w:color w:val="auto"/>
          <w:sz w:val="28"/>
          <w:szCs w:val="28"/>
          <w:highlight w:val="none"/>
        </w:rPr>
        <w:t>5、比选文件构成</w:t>
      </w:r>
      <w:bookmarkEnd w:id="83"/>
      <w:bookmarkEnd w:id="84"/>
    </w:p>
    <w:p w14:paraId="6AA743B9">
      <w:pPr>
        <w:spacing w:line="480" w:lineRule="exact"/>
        <w:ind w:firstLine="48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w:t>
      </w:r>
      <w:r>
        <w:rPr>
          <w:rFonts w:ascii="微软雅黑" w:hAnsi="微软雅黑" w:eastAsia="微软雅黑"/>
          <w:color w:val="auto"/>
          <w:sz w:val="24"/>
          <w:szCs w:val="24"/>
          <w:highlight w:val="none"/>
        </w:rPr>
        <w:t xml:space="preserve">.1 </w:t>
      </w:r>
      <w:r>
        <w:rPr>
          <w:rFonts w:hint="eastAsia" w:ascii="微软雅黑" w:hAnsi="微软雅黑" w:eastAsia="微软雅黑"/>
          <w:color w:val="auto"/>
          <w:sz w:val="24"/>
          <w:szCs w:val="24"/>
          <w:highlight w:val="none"/>
        </w:rPr>
        <w:t xml:space="preserve"> 要求提供的服务、比选过程和合同条款在比选文件中均有说明。比选文件由下列文件以及在比选过程中发出的澄清或修改文件组成：</w:t>
      </w:r>
    </w:p>
    <w:p w14:paraId="3F4E1319">
      <w:pPr>
        <w:spacing w:line="480" w:lineRule="exact"/>
        <w:ind w:firstLine="482"/>
        <w:rPr>
          <w:rFonts w:ascii="微软雅黑" w:hAnsi="微软雅黑" w:eastAsia="微软雅黑" w:cs="宋体"/>
          <w:color w:val="auto"/>
          <w:sz w:val="24"/>
          <w:szCs w:val="24"/>
          <w:highlight w:val="none"/>
        </w:rPr>
      </w:pPr>
      <w:bookmarkStart w:id="85" w:name="_Hlt509650925"/>
      <w:bookmarkEnd w:id="85"/>
      <w:r>
        <w:rPr>
          <w:rFonts w:hint="eastAsia" w:ascii="微软雅黑" w:hAnsi="微软雅黑" w:eastAsia="微软雅黑" w:cs="宋体"/>
          <w:color w:val="auto"/>
          <w:sz w:val="24"/>
          <w:szCs w:val="24"/>
          <w:highlight w:val="none"/>
        </w:rPr>
        <w:t xml:space="preserve">第一章 </w:t>
      </w:r>
      <w:r>
        <w:rPr>
          <w:rFonts w:hint="eastAsia" w:ascii="微软雅黑" w:hAnsi="微软雅黑" w:eastAsia="微软雅黑"/>
          <w:color w:val="auto"/>
          <w:sz w:val="24"/>
          <w:szCs w:val="24"/>
          <w:highlight w:val="none"/>
        </w:rPr>
        <w:t>比选</w:t>
      </w:r>
      <w:r>
        <w:rPr>
          <w:rFonts w:hint="eastAsia" w:ascii="微软雅黑" w:hAnsi="微软雅黑" w:eastAsia="微软雅黑" w:cs="宋体"/>
          <w:color w:val="auto"/>
          <w:sz w:val="24"/>
          <w:szCs w:val="24"/>
          <w:highlight w:val="none"/>
        </w:rPr>
        <w:t>邀请</w:t>
      </w:r>
    </w:p>
    <w:p w14:paraId="3007F17D">
      <w:pPr>
        <w:spacing w:line="480" w:lineRule="exact"/>
        <w:ind w:firstLine="480"/>
        <w:rPr>
          <w:rFonts w:ascii="微软雅黑" w:hAnsi="微软雅黑" w:eastAsia="微软雅黑" w:cs="宋体"/>
          <w:color w:val="auto"/>
          <w:sz w:val="24"/>
          <w:szCs w:val="24"/>
          <w:highlight w:val="none"/>
        </w:rPr>
      </w:pPr>
      <w:r>
        <w:rPr>
          <w:rFonts w:hint="eastAsia" w:ascii="微软雅黑" w:hAnsi="微软雅黑" w:eastAsia="微软雅黑" w:cs="宋体"/>
          <w:color w:val="auto"/>
          <w:sz w:val="24"/>
          <w:szCs w:val="24"/>
          <w:highlight w:val="none"/>
        </w:rPr>
        <w:t>第二章 项目采购需求</w:t>
      </w:r>
    </w:p>
    <w:p w14:paraId="2FD4636A">
      <w:pPr>
        <w:spacing w:line="480" w:lineRule="exact"/>
        <w:ind w:firstLine="480"/>
        <w:rPr>
          <w:rFonts w:ascii="微软雅黑" w:hAnsi="微软雅黑" w:eastAsia="微软雅黑" w:cs="宋体"/>
          <w:color w:val="auto"/>
          <w:sz w:val="24"/>
          <w:szCs w:val="24"/>
          <w:highlight w:val="none"/>
        </w:rPr>
      </w:pPr>
      <w:bookmarkStart w:id="86" w:name="_Hlt509650237"/>
      <w:bookmarkEnd w:id="86"/>
      <w:bookmarkStart w:id="87" w:name="_Hlt509650265"/>
      <w:bookmarkEnd w:id="87"/>
      <w:r>
        <w:rPr>
          <w:rFonts w:hint="eastAsia" w:ascii="微软雅黑" w:hAnsi="微软雅黑" w:eastAsia="微软雅黑" w:cs="宋体"/>
          <w:color w:val="auto"/>
          <w:sz w:val="24"/>
          <w:szCs w:val="24"/>
          <w:highlight w:val="none"/>
        </w:rPr>
        <w:t>第三章 供应商须知</w:t>
      </w:r>
    </w:p>
    <w:p w14:paraId="2361F308">
      <w:pPr>
        <w:spacing w:line="480" w:lineRule="exact"/>
        <w:ind w:firstLine="480"/>
        <w:rPr>
          <w:rFonts w:ascii="微软雅黑" w:hAnsi="微软雅黑" w:eastAsia="微软雅黑" w:cs="宋体"/>
          <w:color w:val="auto"/>
          <w:sz w:val="24"/>
          <w:szCs w:val="24"/>
          <w:highlight w:val="none"/>
        </w:rPr>
      </w:pPr>
      <w:r>
        <w:rPr>
          <w:rFonts w:hint="eastAsia" w:ascii="微软雅黑" w:hAnsi="微软雅黑" w:eastAsia="微软雅黑" w:cs="宋体"/>
          <w:color w:val="auto"/>
          <w:sz w:val="24"/>
          <w:szCs w:val="24"/>
          <w:highlight w:val="none"/>
        </w:rPr>
        <w:t>第四章 合同</w:t>
      </w:r>
    </w:p>
    <w:p w14:paraId="09822194">
      <w:pPr>
        <w:spacing w:line="480" w:lineRule="exact"/>
        <w:ind w:firstLine="480"/>
        <w:rPr>
          <w:rFonts w:ascii="微软雅黑" w:hAnsi="微软雅黑" w:eastAsia="微软雅黑" w:cs="宋体"/>
          <w:color w:val="auto"/>
          <w:sz w:val="24"/>
          <w:szCs w:val="24"/>
          <w:highlight w:val="none"/>
        </w:rPr>
      </w:pPr>
      <w:r>
        <w:rPr>
          <w:rFonts w:hint="eastAsia" w:ascii="微软雅黑" w:hAnsi="微软雅黑" w:eastAsia="微软雅黑" w:cs="宋体"/>
          <w:color w:val="auto"/>
          <w:sz w:val="24"/>
          <w:szCs w:val="24"/>
          <w:highlight w:val="none"/>
        </w:rPr>
        <w:t>第五章 附件（比选响应文件格式）</w:t>
      </w:r>
    </w:p>
    <w:p w14:paraId="76BB24F5">
      <w:pPr>
        <w:pStyle w:val="4"/>
        <w:spacing w:line="480" w:lineRule="exact"/>
        <w:jc w:val="both"/>
        <w:rPr>
          <w:rFonts w:ascii="微软雅黑" w:hAnsi="微软雅黑" w:eastAsia="微软雅黑"/>
          <w:color w:val="auto"/>
          <w:sz w:val="28"/>
          <w:szCs w:val="28"/>
          <w:highlight w:val="none"/>
        </w:rPr>
      </w:pPr>
      <w:bookmarkStart w:id="88" w:name="_Toc8376292"/>
      <w:bookmarkStart w:id="89" w:name="_Toc12045"/>
      <w:r>
        <w:rPr>
          <w:rFonts w:hint="eastAsia" w:ascii="微软雅黑" w:hAnsi="微软雅黑" w:eastAsia="微软雅黑"/>
          <w:color w:val="auto"/>
          <w:sz w:val="28"/>
          <w:szCs w:val="28"/>
          <w:highlight w:val="none"/>
        </w:rPr>
        <w:t>6、比选文件的澄清和修改</w:t>
      </w:r>
      <w:bookmarkEnd w:id="88"/>
      <w:bookmarkEnd w:id="89"/>
    </w:p>
    <w:p w14:paraId="7C7FC6AD">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6.1提交响应文件截止之日前，采购人、采购代理机构或者比选小组可以对已发出的比选文件进行必要的澄清或者修改，澄清或者修改的内容作为比选文件的组成部分。澄清或者修改的内容可能影响响应文件编制的，采购人、采购代理机构或者比选小组应当在提交响应文件截止之日3个工作日前，以书面形式通知所有接收比选文件的供应商，不足3个工作日的，应当顺延提交响应文件截止之日。</w:t>
      </w:r>
    </w:p>
    <w:p w14:paraId="21116348">
      <w:pPr>
        <w:pStyle w:val="12"/>
        <w:spacing w:line="480" w:lineRule="exact"/>
        <w:ind w:firstLine="56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w:t>
      </w: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澄清内容可能影响投标文件编制的，招标人或者采购代理机构以书面形式通知所有获取比选文件的潜在供应商，或在</w:t>
      </w:r>
      <w:r>
        <w:rPr>
          <w:rFonts w:hint="eastAsia" w:ascii="微软雅黑" w:hAnsi="微软雅黑" w:eastAsia="微软雅黑"/>
          <w:color w:val="auto"/>
          <w:sz w:val="24"/>
          <w:szCs w:val="24"/>
          <w:highlight w:val="none"/>
          <w:lang w:eastAsia="zh-CN"/>
        </w:rPr>
        <w:t>红谷滩城市投资集团公司官网（http://www.hgtct.com/News.aspx?id=22）</w:t>
      </w:r>
      <w:r>
        <w:rPr>
          <w:rFonts w:hint="eastAsia" w:ascii="微软雅黑" w:hAnsi="微软雅黑" w:eastAsia="微软雅黑"/>
          <w:color w:val="auto"/>
          <w:sz w:val="24"/>
          <w:szCs w:val="24"/>
          <w:highlight w:val="none"/>
        </w:rPr>
        <w:t>上发布澄清公告，以网上公告的形式通知所有已获取比选文件的供应商，澄清内容或澄清公告也是比选文件的组成部分，并对供应商具有约束力。</w:t>
      </w:r>
    </w:p>
    <w:p w14:paraId="7C6317FA">
      <w:pPr>
        <w:pStyle w:val="4"/>
        <w:numPr>
          <w:ilvl w:val="0"/>
          <w:numId w:val="4"/>
        </w:numPr>
        <w:spacing w:line="480" w:lineRule="exact"/>
        <w:rPr>
          <w:rFonts w:ascii="微软雅黑" w:hAnsi="微软雅黑" w:eastAsia="微软雅黑"/>
          <w:color w:val="auto"/>
          <w:sz w:val="36"/>
          <w:szCs w:val="36"/>
          <w:highlight w:val="none"/>
        </w:rPr>
      </w:pPr>
      <w:bookmarkStart w:id="90" w:name="_Hlt509649724"/>
      <w:bookmarkEnd w:id="90"/>
      <w:bookmarkStart w:id="91" w:name="_Hlt509650697"/>
      <w:bookmarkEnd w:id="91"/>
      <w:bookmarkStart w:id="92" w:name="_Hlt510342861"/>
      <w:bookmarkEnd w:id="92"/>
      <w:bookmarkStart w:id="93" w:name="_Toc8376294"/>
      <w:bookmarkStart w:id="94" w:name="_Toc790"/>
      <w:bookmarkStart w:id="95" w:name="_Toc147282126"/>
      <w:r>
        <w:rPr>
          <w:rFonts w:hint="eastAsia" w:ascii="微软雅黑" w:hAnsi="微软雅黑" w:eastAsia="微软雅黑"/>
          <w:color w:val="auto"/>
          <w:sz w:val="36"/>
          <w:szCs w:val="36"/>
          <w:highlight w:val="none"/>
        </w:rPr>
        <w:t>比选响应文件的编制</w:t>
      </w:r>
      <w:bookmarkEnd w:id="93"/>
      <w:bookmarkEnd w:id="94"/>
      <w:bookmarkEnd w:id="95"/>
    </w:p>
    <w:p w14:paraId="186A2FC3">
      <w:pPr>
        <w:pStyle w:val="4"/>
        <w:spacing w:line="480" w:lineRule="exact"/>
        <w:jc w:val="both"/>
        <w:rPr>
          <w:rFonts w:ascii="微软雅黑" w:hAnsi="微软雅黑" w:eastAsia="微软雅黑"/>
          <w:color w:val="auto"/>
          <w:sz w:val="28"/>
          <w:szCs w:val="28"/>
          <w:highlight w:val="none"/>
        </w:rPr>
      </w:pPr>
      <w:bookmarkStart w:id="96" w:name="_Toc8376295"/>
      <w:bookmarkStart w:id="97" w:name="_Toc12979"/>
      <w:r>
        <w:rPr>
          <w:rFonts w:hint="eastAsia" w:ascii="微软雅黑" w:hAnsi="微软雅黑" w:eastAsia="微软雅黑"/>
          <w:color w:val="auto"/>
          <w:sz w:val="28"/>
          <w:szCs w:val="28"/>
          <w:highlight w:val="none"/>
        </w:rPr>
        <w:t>7、比选响应文件构成</w:t>
      </w:r>
      <w:bookmarkEnd w:id="96"/>
      <w:bookmarkEnd w:id="97"/>
    </w:p>
    <w:p w14:paraId="627D923C">
      <w:pPr>
        <w:spacing w:line="480" w:lineRule="exact"/>
        <w:ind w:firstLine="549"/>
        <w:rPr>
          <w:rFonts w:ascii="微软雅黑" w:hAnsi="微软雅黑" w:eastAsia="微软雅黑"/>
          <w:color w:val="auto"/>
          <w:sz w:val="24"/>
          <w:szCs w:val="24"/>
          <w:highlight w:val="none"/>
        </w:rPr>
      </w:pPr>
      <w:bookmarkStart w:id="98" w:name="_Hlt509650345"/>
      <w:bookmarkEnd w:id="98"/>
      <w:r>
        <w:rPr>
          <w:rFonts w:hint="eastAsia" w:ascii="微软雅黑" w:hAnsi="微软雅黑" w:eastAsia="微软雅黑"/>
          <w:color w:val="auto"/>
          <w:sz w:val="24"/>
          <w:szCs w:val="24"/>
          <w:highlight w:val="none"/>
        </w:rPr>
        <w:t>7.1见本比选文件</w:t>
      </w:r>
      <w:r>
        <w:rPr>
          <w:rFonts w:hint="eastAsia" w:ascii="微软雅黑" w:hAnsi="微软雅黑" w:eastAsia="微软雅黑" w:cs="宋体"/>
          <w:color w:val="auto"/>
          <w:sz w:val="24"/>
          <w:szCs w:val="24"/>
          <w:highlight w:val="none"/>
        </w:rPr>
        <w:t>第五</w:t>
      </w:r>
      <w:r>
        <w:rPr>
          <w:rFonts w:hint="eastAsia" w:ascii="微软雅黑" w:hAnsi="微软雅黑" w:eastAsia="微软雅黑"/>
          <w:color w:val="auto"/>
          <w:sz w:val="24"/>
          <w:szCs w:val="24"/>
          <w:highlight w:val="none"/>
        </w:rPr>
        <w:t>章 附件（比选响应文件格式）。</w:t>
      </w:r>
    </w:p>
    <w:p w14:paraId="6965DEAE">
      <w:pPr>
        <w:pStyle w:val="4"/>
        <w:spacing w:line="480" w:lineRule="exact"/>
        <w:jc w:val="both"/>
        <w:rPr>
          <w:rFonts w:ascii="微软雅黑" w:hAnsi="微软雅黑" w:eastAsia="微软雅黑"/>
          <w:color w:val="auto"/>
          <w:sz w:val="28"/>
          <w:szCs w:val="28"/>
          <w:highlight w:val="none"/>
        </w:rPr>
      </w:pPr>
      <w:bookmarkStart w:id="99" w:name="_Toc8376296"/>
      <w:bookmarkStart w:id="100" w:name="_Toc21600"/>
      <w:r>
        <w:rPr>
          <w:rFonts w:hint="eastAsia" w:ascii="微软雅黑" w:hAnsi="微软雅黑" w:eastAsia="微软雅黑"/>
          <w:color w:val="auto"/>
          <w:sz w:val="28"/>
          <w:szCs w:val="28"/>
          <w:highlight w:val="none"/>
        </w:rPr>
        <w:t>8、比选响应编制的注意事项</w:t>
      </w:r>
      <w:bookmarkEnd w:id="99"/>
      <w:bookmarkEnd w:id="100"/>
    </w:p>
    <w:p w14:paraId="13759504">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1供应商应认真、仔细阅读比选文件中所有的事项、格式、条件、条款和规范等要求。</w:t>
      </w:r>
    </w:p>
    <w:p w14:paraId="183BB8E6">
      <w:pPr>
        <w:pStyle w:val="12"/>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.2供应商应按比选文件提供的比选响应函、报价表、分项报价表等格式详细完整地填写各项内容。</w:t>
      </w:r>
    </w:p>
    <w:p w14:paraId="43F3611F">
      <w:pPr>
        <w:pStyle w:val="12"/>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.3比选响应</w:t>
      </w:r>
      <w:r>
        <w:rPr>
          <w:rFonts w:hint="eastAsia" w:ascii="微软雅黑" w:hAnsi="微软雅黑" w:eastAsia="微软雅黑"/>
          <w:color w:val="auto"/>
          <w:sz w:val="24"/>
          <w:szCs w:val="24"/>
          <w:highlight w:val="none"/>
        </w:rPr>
        <w:t>文件</w:t>
      </w:r>
      <w:r>
        <w:rPr>
          <w:rFonts w:ascii="微软雅黑" w:hAnsi="微软雅黑" w:eastAsia="微软雅黑"/>
          <w:color w:val="auto"/>
          <w:sz w:val="24"/>
          <w:szCs w:val="24"/>
          <w:highlight w:val="none"/>
        </w:rPr>
        <w:t>按比选文件规定序号或顺序编制，按规定格式填写比选响应，并可按同样格式扩展。</w:t>
      </w:r>
    </w:p>
    <w:p w14:paraId="486B5D5F">
      <w:pPr>
        <w:pStyle w:val="12"/>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.4供应商应按比选响应</w:t>
      </w:r>
      <w:r>
        <w:rPr>
          <w:rFonts w:hint="eastAsia" w:ascii="微软雅黑" w:hAnsi="微软雅黑" w:eastAsia="微软雅黑"/>
          <w:color w:val="auto"/>
          <w:sz w:val="24"/>
          <w:szCs w:val="24"/>
          <w:highlight w:val="none"/>
        </w:rPr>
        <w:t>文件</w:t>
      </w:r>
      <w:r>
        <w:rPr>
          <w:rFonts w:ascii="微软雅黑" w:hAnsi="微软雅黑" w:eastAsia="微软雅黑"/>
          <w:color w:val="auto"/>
          <w:sz w:val="24"/>
          <w:szCs w:val="24"/>
          <w:highlight w:val="none"/>
        </w:rPr>
        <w:t>的构成顺序自编目录及页码装订成册，</w:t>
      </w:r>
      <w:r>
        <w:rPr>
          <w:rFonts w:hint="eastAsia" w:ascii="微软雅黑" w:hAnsi="微软雅黑" w:eastAsia="微软雅黑"/>
          <w:color w:val="auto"/>
          <w:sz w:val="24"/>
          <w:szCs w:val="24"/>
          <w:highlight w:val="none"/>
        </w:rPr>
        <w:t>装订必须牢固，</w:t>
      </w:r>
      <w:r>
        <w:rPr>
          <w:rFonts w:ascii="微软雅黑" w:hAnsi="微软雅黑" w:eastAsia="微软雅黑"/>
          <w:color w:val="auto"/>
          <w:sz w:val="24"/>
          <w:szCs w:val="24"/>
          <w:highlight w:val="none"/>
        </w:rPr>
        <w:t>否则文件失散引起的后果自负。</w:t>
      </w:r>
    </w:p>
    <w:p w14:paraId="22A83A9E">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5比选响应文件分为正、副本，副本可为正本的复印件。</w:t>
      </w:r>
    </w:p>
    <w:p w14:paraId="58243281">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6</w:t>
      </w:r>
      <w:r>
        <w:rPr>
          <w:rFonts w:hint="eastAsia" w:ascii="微软雅黑" w:hAnsi="微软雅黑" w:eastAsia="微软雅黑"/>
          <w:color w:val="auto"/>
          <w:sz w:val="24"/>
          <w:szCs w:val="24"/>
          <w:highlight w:val="none"/>
        </w:rPr>
        <w:t>比选响应文件及往来函件均须用中文书写。</w:t>
      </w:r>
    </w:p>
    <w:p w14:paraId="632D7DE6">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7</w:t>
      </w:r>
      <w:r>
        <w:rPr>
          <w:rFonts w:hint="eastAsia" w:ascii="微软雅黑" w:hAnsi="微软雅黑" w:eastAsia="微软雅黑"/>
          <w:color w:val="auto"/>
          <w:sz w:val="24"/>
          <w:szCs w:val="24"/>
          <w:highlight w:val="none"/>
        </w:rPr>
        <w:t>比选响应文件中所使用的计量单位</w:t>
      </w:r>
      <w:r>
        <w:rPr>
          <w:rFonts w:ascii="微软雅黑" w:hAnsi="微软雅黑" w:eastAsia="微软雅黑"/>
          <w:color w:val="auto"/>
          <w:sz w:val="24"/>
          <w:szCs w:val="24"/>
          <w:highlight w:val="none"/>
        </w:rPr>
        <w:t xml:space="preserve">, </w:t>
      </w:r>
      <w:r>
        <w:rPr>
          <w:rFonts w:hint="eastAsia" w:ascii="微软雅黑" w:hAnsi="微软雅黑" w:eastAsia="微软雅黑"/>
          <w:color w:val="auto"/>
          <w:sz w:val="24"/>
          <w:szCs w:val="24"/>
          <w:highlight w:val="none"/>
        </w:rPr>
        <w:t>除比选文件中有特殊要求外，应采用国家法定计量单位。</w:t>
      </w:r>
    </w:p>
    <w:p w14:paraId="04511B3A">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8</w:t>
      </w:r>
      <w:r>
        <w:rPr>
          <w:rFonts w:hint="eastAsia" w:ascii="微软雅黑" w:hAnsi="微软雅黑" w:eastAsia="微软雅黑"/>
          <w:color w:val="auto"/>
          <w:sz w:val="24"/>
          <w:szCs w:val="24"/>
          <w:highlight w:val="none"/>
        </w:rPr>
        <w:t>供应商应按照比选文件的要求，规范、明确、准时的提交比选响应文件。如果没有按照比选文件的要求提交全部资料并保证所提供全部资料的真实性，或没有对比选文件做出实质性响应，其风险应由供应商自行承担。根据有关条款规定，其比选响应有可能被拒绝。</w:t>
      </w:r>
    </w:p>
    <w:p w14:paraId="7A85138A">
      <w:pPr>
        <w:pStyle w:val="4"/>
        <w:spacing w:line="480" w:lineRule="exact"/>
        <w:jc w:val="both"/>
        <w:rPr>
          <w:rFonts w:ascii="微软雅黑" w:hAnsi="微软雅黑" w:eastAsia="微软雅黑"/>
          <w:color w:val="auto"/>
          <w:sz w:val="28"/>
          <w:szCs w:val="28"/>
          <w:highlight w:val="none"/>
        </w:rPr>
      </w:pPr>
      <w:bookmarkStart w:id="101" w:name="_Toc8376297"/>
      <w:bookmarkStart w:id="102" w:name="_Toc698"/>
      <w:r>
        <w:rPr>
          <w:rFonts w:hint="eastAsia" w:ascii="微软雅黑" w:hAnsi="微软雅黑" w:eastAsia="微软雅黑"/>
          <w:color w:val="auto"/>
          <w:sz w:val="28"/>
          <w:szCs w:val="28"/>
          <w:highlight w:val="none"/>
        </w:rPr>
        <w:t>9、报价</w:t>
      </w:r>
      <w:bookmarkEnd w:id="101"/>
      <w:bookmarkEnd w:id="102"/>
    </w:p>
    <w:p w14:paraId="504AA764">
      <w:pPr>
        <w:spacing w:line="480" w:lineRule="exact"/>
        <w:ind w:firstLine="549"/>
        <w:rPr>
          <w:rFonts w:ascii="微软雅黑" w:hAnsi="微软雅黑" w:eastAsia="微软雅黑"/>
          <w:b/>
          <w:color w:val="auto"/>
          <w:sz w:val="24"/>
          <w:szCs w:val="24"/>
          <w:highlight w:val="none"/>
        </w:rPr>
      </w:pPr>
      <w:bookmarkStart w:id="103" w:name="_Toc8376298"/>
      <w:r>
        <w:rPr>
          <w:rFonts w:hint="eastAsia" w:ascii="微软雅黑" w:hAnsi="微软雅黑" w:eastAsia="微软雅黑"/>
          <w:b/>
          <w:color w:val="auto"/>
          <w:sz w:val="24"/>
          <w:szCs w:val="24"/>
          <w:highlight w:val="none"/>
        </w:rPr>
        <w:t>9</w:t>
      </w:r>
      <w:r>
        <w:rPr>
          <w:rFonts w:ascii="微软雅黑" w:hAnsi="微软雅黑" w:eastAsia="微软雅黑"/>
          <w:b/>
          <w:color w:val="auto"/>
          <w:sz w:val="24"/>
          <w:szCs w:val="24"/>
          <w:highlight w:val="none"/>
        </w:rPr>
        <w:t>.1按比选文件要求提交。</w:t>
      </w:r>
    </w:p>
    <w:p w14:paraId="03B09EC5">
      <w:pPr>
        <w:pStyle w:val="4"/>
        <w:spacing w:line="480" w:lineRule="exact"/>
        <w:jc w:val="both"/>
        <w:rPr>
          <w:rFonts w:ascii="微软雅黑" w:hAnsi="微软雅黑" w:eastAsia="微软雅黑"/>
          <w:color w:val="auto"/>
          <w:sz w:val="28"/>
          <w:szCs w:val="28"/>
          <w:highlight w:val="none"/>
        </w:rPr>
      </w:pPr>
      <w:bookmarkStart w:id="104" w:name="_Toc3765"/>
      <w:r>
        <w:rPr>
          <w:rFonts w:hint="eastAsia" w:ascii="微软雅黑" w:hAnsi="微软雅黑" w:eastAsia="微软雅黑"/>
          <w:color w:val="auto"/>
          <w:sz w:val="28"/>
          <w:szCs w:val="28"/>
          <w:highlight w:val="none"/>
        </w:rPr>
        <w:t>10、证明供应商合格资格的文件</w:t>
      </w:r>
      <w:bookmarkEnd w:id="103"/>
      <w:bookmarkEnd w:id="104"/>
    </w:p>
    <w:p w14:paraId="7921D0C1">
      <w:pPr>
        <w:pStyle w:val="12"/>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0</w:t>
      </w:r>
      <w:r>
        <w:rPr>
          <w:rFonts w:ascii="微软雅黑" w:hAnsi="微软雅黑" w:eastAsia="微软雅黑"/>
          <w:color w:val="auto"/>
          <w:sz w:val="24"/>
          <w:szCs w:val="24"/>
          <w:highlight w:val="none"/>
        </w:rPr>
        <w:t>.1供应商应提供证明其合格资格的证明文件(详见比选文件第</w:t>
      </w:r>
      <w:r>
        <w:rPr>
          <w:rFonts w:hint="eastAsia" w:ascii="微软雅黑" w:hAnsi="微软雅黑" w:eastAsia="微软雅黑"/>
          <w:color w:val="auto"/>
          <w:sz w:val="24"/>
          <w:szCs w:val="24"/>
          <w:highlight w:val="none"/>
        </w:rPr>
        <w:t>五章</w:t>
      </w:r>
      <w:r>
        <w:rPr>
          <w:rFonts w:ascii="微软雅黑" w:hAnsi="微软雅黑" w:eastAsia="微软雅黑"/>
          <w:color w:val="auto"/>
          <w:sz w:val="24"/>
          <w:szCs w:val="24"/>
          <w:highlight w:val="none"/>
        </w:rPr>
        <w:t>附件中资格证明文件)。</w:t>
      </w:r>
    </w:p>
    <w:p w14:paraId="1435380F">
      <w:pPr>
        <w:pStyle w:val="4"/>
        <w:spacing w:line="480" w:lineRule="exact"/>
        <w:jc w:val="both"/>
        <w:rPr>
          <w:rFonts w:ascii="微软雅黑" w:hAnsi="微软雅黑" w:eastAsia="微软雅黑"/>
          <w:color w:val="auto"/>
          <w:sz w:val="28"/>
          <w:szCs w:val="28"/>
          <w:highlight w:val="none"/>
        </w:rPr>
      </w:pPr>
      <w:bookmarkStart w:id="105" w:name="_Toc8376300"/>
      <w:bookmarkStart w:id="106" w:name="_Toc29213"/>
      <w:r>
        <w:rPr>
          <w:rFonts w:hint="eastAsia" w:ascii="微软雅黑" w:hAnsi="微软雅黑" w:eastAsia="微软雅黑"/>
          <w:color w:val="auto"/>
          <w:sz w:val="28"/>
          <w:szCs w:val="28"/>
          <w:highlight w:val="none"/>
        </w:rPr>
        <w:t>11、比选保证金</w:t>
      </w:r>
      <w:bookmarkEnd w:id="105"/>
      <w:bookmarkEnd w:id="106"/>
    </w:p>
    <w:p w14:paraId="3AFCF53E">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highlight w:val="none"/>
        </w:rPr>
        <w:t>11.1</w:t>
      </w:r>
      <w:r>
        <w:rPr>
          <w:rFonts w:hint="eastAsia" w:ascii="微软雅黑" w:hAnsi="微软雅黑" w:eastAsia="微软雅黑" w:cs="宋体"/>
          <w:color w:val="auto"/>
          <w:sz w:val="24"/>
          <w:szCs w:val="24"/>
          <w:highlight w:val="none"/>
        </w:rPr>
        <w:t>提交</w:t>
      </w:r>
      <w:r>
        <w:rPr>
          <w:rFonts w:hint="eastAsia" w:ascii="微软雅黑" w:hAnsi="微软雅黑" w:eastAsia="微软雅黑"/>
          <w:color w:val="auto"/>
          <w:sz w:val="24"/>
          <w:szCs w:val="24"/>
          <w:highlight w:val="none"/>
        </w:rPr>
        <w:t>比选保证金</w:t>
      </w:r>
      <w:r>
        <w:rPr>
          <w:rFonts w:hint="eastAsia" w:ascii="微软雅黑" w:hAnsi="微软雅黑" w:eastAsia="微软雅黑" w:cs="宋体"/>
          <w:color w:val="auto"/>
          <w:sz w:val="24"/>
          <w:szCs w:val="24"/>
          <w:highlight w:val="none"/>
        </w:rPr>
        <w:t>时间及金额要求详见“供应商须知前附表”</w:t>
      </w:r>
      <w:r>
        <w:rPr>
          <w:rFonts w:hint="eastAsia" w:ascii="微软雅黑" w:hAnsi="微软雅黑" w:eastAsia="微软雅黑"/>
          <w:color w:val="auto"/>
          <w:sz w:val="24"/>
          <w:szCs w:val="24"/>
          <w:highlight w:val="none"/>
        </w:rPr>
        <w:t>。</w:t>
      </w:r>
    </w:p>
    <w:p w14:paraId="795A8B24">
      <w:pPr>
        <w:spacing w:line="480" w:lineRule="exact"/>
        <w:ind w:firstLine="540"/>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11.1供应商在开标时间之前按</w:t>
      </w:r>
      <w:r>
        <w:rPr>
          <w:rFonts w:hint="eastAsia" w:ascii="微软雅黑" w:hAnsi="微软雅黑" w:eastAsia="微软雅黑"/>
          <w:color w:val="auto"/>
          <w:sz w:val="24"/>
          <w:szCs w:val="24"/>
          <w:highlight w:val="none"/>
        </w:rPr>
        <w:t>“供应商须知前附表”中提供的账户信息、金额和规定</w:t>
      </w:r>
      <w:r>
        <w:rPr>
          <w:rFonts w:hint="eastAsia" w:ascii="微软雅黑" w:hAnsi="微软雅黑" w:eastAsia="微软雅黑"/>
          <w:bCs/>
          <w:color w:val="auto"/>
          <w:sz w:val="24"/>
          <w:szCs w:val="24"/>
          <w:highlight w:val="none"/>
        </w:rPr>
        <w:t>向江西省产权交易所提交比选保证金</w:t>
      </w:r>
      <w:r>
        <w:rPr>
          <w:rFonts w:hint="eastAsia" w:ascii="微软雅黑" w:hAnsi="微软雅黑" w:eastAsia="微软雅黑"/>
          <w:color w:val="auto"/>
          <w:sz w:val="24"/>
          <w:szCs w:val="24"/>
          <w:highlight w:val="none"/>
        </w:rPr>
        <w:t>，</w:t>
      </w:r>
      <w:r>
        <w:rPr>
          <w:rFonts w:hint="eastAsia" w:ascii="微软雅黑" w:hAnsi="微软雅黑" w:eastAsia="微软雅黑"/>
          <w:bCs/>
          <w:color w:val="auto"/>
          <w:sz w:val="24"/>
          <w:szCs w:val="24"/>
          <w:highlight w:val="none"/>
        </w:rPr>
        <w:t>并作为其投标的一部分。</w:t>
      </w:r>
    </w:p>
    <w:p w14:paraId="33D9F12F">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11.2 比选保证金采用银行转账形式</w:t>
      </w:r>
    </w:p>
    <w:p w14:paraId="48D5D541">
      <w:pPr>
        <w:spacing w:line="480" w:lineRule="exact"/>
        <w:ind w:firstLine="540"/>
        <w:rPr>
          <w:rFonts w:ascii="微软雅黑" w:hAnsi="微软雅黑" w:eastAsia="微软雅黑"/>
          <w:b/>
          <w:color w:val="auto"/>
          <w:sz w:val="24"/>
          <w:szCs w:val="24"/>
          <w:highlight w:val="none"/>
        </w:rPr>
      </w:pPr>
      <w:r>
        <w:rPr>
          <w:rFonts w:hint="eastAsia" w:ascii="微软雅黑" w:hAnsi="微软雅黑" w:eastAsia="微软雅黑"/>
          <w:color w:val="auto"/>
          <w:sz w:val="24"/>
          <w:szCs w:val="24"/>
          <w:highlight w:val="none"/>
        </w:rPr>
        <w:t>11.3 任何未按第11.1和第11.2条要求提交比选保证金的，</w:t>
      </w:r>
      <w:r>
        <w:rPr>
          <w:rFonts w:hint="eastAsia" w:ascii="微软雅黑" w:hAnsi="微软雅黑" w:eastAsia="微软雅黑"/>
          <w:bCs/>
          <w:color w:val="auto"/>
          <w:sz w:val="24"/>
          <w:szCs w:val="24"/>
          <w:highlight w:val="none"/>
        </w:rPr>
        <w:t>采购代理机构</w:t>
      </w:r>
      <w:r>
        <w:rPr>
          <w:rFonts w:hint="eastAsia" w:ascii="微软雅黑" w:hAnsi="微软雅黑" w:eastAsia="微软雅黑"/>
          <w:color w:val="auto"/>
          <w:sz w:val="24"/>
          <w:szCs w:val="24"/>
          <w:highlight w:val="none"/>
        </w:rPr>
        <w:t>将</w:t>
      </w:r>
      <w:r>
        <w:rPr>
          <w:rFonts w:hint="eastAsia" w:ascii="微软雅黑" w:hAnsi="微软雅黑" w:eastAsia="微软雅黑"/>
          <w:b/>
          <w:color w:val="auto"/>
          <w:sz w:val="24"/>
          <w:szCs w:val="24"/>
          <w:highlight w:val="none"/>
        </w:rPr>
        <w:t>视其为无效投标。</w:t>
      </w:r>
    </w:p>
    <w:p w14:paraId="42B11BEA">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11.4供应商被确定为中标人后，其交纳的比选保证金转为等额的首期租金费用，全部首期租金费用未支付完毕前，保证金性质不变；其他供应商交纳的比选保证金及其利息在中标人确定之日起5个工作日内返还原提交账户。比选保证金在指定结算账户期间产生的利息按同期人民银行活期存款利率计算。</w:t>
      </w:r>
    </w:p>
    <w:p w14:paraId="12AAF287">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11.5发生以下任何一种情形，相关责任主体交纳的全部保证金在抵扣采购代理机构应收取的代理服务费及江西省产权交易所的交易服务费后，作为对相关方的补偿，保证金不足以补偿的，相关方可按实际损失继续追偿：</w:t>
      </w:r>
    </w:p>
    <w:p w14:paraId="1137B525">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（1）供应商故意提供虚假、失实材料的；</w:t>
      </w:r>
    </w:p>
    <w:p w14:paraId="37766AAE">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（2）供应商之间相互串通，影响公平竞争，侵害招标人合法权益的；</w:t>
      </w:r>
    </w:p>
    <w:p w14:paraId="741D4E07">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（3）供应商采取不正当手段获取招标人的商业秘密，侵害招标人合法权益的；</w:t>
      </w:r>
    </w:p>
    <w:p w14:paraId="3A487EF3">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（4）被确定为中标人后，未按约定时限与招标人签署合同的；</w:t>
      </w:r>
    </w:p>
    <w:p w14:paraId="6811D22E">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（5）合同签订后，中标人阻碍合同生效的；</w:t>
      </w:r>
    </w:p>
    <w:p w14:paraId="0C7DE4E3">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（6）中标人未按约定支付交易费用的；</w:t>
      </w:r>
    </w:p>
    <w:p w14:paraId="5466CD2C">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（7）供应商有其他违反交易规则情形的。</w:t>
      </w:r>
    </w:p>
    <w:p w14:paraId="4983389D">
      <w:pPr>
        <w:pStyle w:val="4"/>
        <w:spacing w:line="480" w:lineRule="exact"/>
        <w:jc w:val="both"/>
        <w:rPr>
          <w:rFonts w:ascii="微软雅黑" w:hAnsi="微软雅黑" w:eastAsia="微软雅黑"/>
          <w:color w:val="auto"/>
          <w:sz w:val="28"/>
          <w:szCs w:val="28"/>
          <w:highlight w:val="none"/>
        </w:rPr>
      </w:pPr>
      <w:bookmarkStart w:id="107" w:name="_Toc8376301"/>
      <w:bookmarkStart w:id="108" w:name="_Toc3215"/>
      <w:r>
        <w:rPr>
          <w:rFonts w:hint="eastAsia" w:ascii="微软雅黑" w:hAnsi="微软雅黑" w:eastAsia="微软雅黑"/>
          <w:color w:val="auto"/>
          <w:sz w:val="28"/>
          <w:szCs w:val="28"/>
          <w:highlight w:val="none"/>
        </w:rPr>
        <w:t>12、比选有效期</w:t>
      </w:r>
      <w:bookmarkEnd w:id="107"/>
      <w:bookmarkEnd w:id="108"/>
    </w:p>
    <w:p w14:paraId="701796F1">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12.1 比选有效期</w:t>
      </w:r>
      <w:r>
        <w:rPr>
          <w:rFonts w:hint="eastAsia" w:ascii="微软雅黑" w:hAnsi="微软雅黑" w:eastAsia="微软雅黑" w:cs="宋体"/>
          <w:color w:val="auto"/>
          <w:sz w:val="24"/>
          <w:szCs w:val="24"/>
          <w:highlight w:val="none"/>
        </w:rPr>
        <w:t>按“供应商须知前附表”规定的时间内保持有效。</w:t>
      </w:r>
      <w:r>
        <w:rPr>
          <w:rFonts w:hint="eastAsia" w:ascii="微软雅黑" w:hAnsi="微软雅黑" w:eastAsia="微软雅黑"/>
          <w:color w:val="auto"/>
          <w:sz w:val="24"/>
          <w:szCs w:val="24"/>
          <w:highlight w:val="none"/>
        </w:rPr>
        <w:t>比选响应有效期不足的比选响应将被视为非响应性比选响应作无效比选响应处理。</w:t>
      </w:r>
    </w:p>
    <w:p w14:paraId="1D300808">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12.2在原定比选有效期满之前，如果出现特殊情况，采购代理机构可以书面形式提出延长比选有效期的要求。供应商以书面形式予以答复，供应商可以拒绝这种要求并予以退还比选保证金。同意延长比选有效期的供应商不允许修改其比选响应文件的实质性内容，且需要相应地延长比选保证金的有效期。</w:t>
      </w:r>
    </w:p>
    <w:p w14:paraId="5E0499A6">
      <w:pPr>
        <w:pStyle w:val="4"/>
        <w:spacing w:line="480" w:lineRule="exact"/>
        <w:jc w:val="both"/>
        <w:rPr>
          <w:rFonts w:ascii="微软雅黑" w:hAnsi="微软雅黑" w:eastAsia="微软雅黑"/>
          <w:color w:val="auto"/>
          <w:sz w:val="28"/>
          <w:szCs w:val="28"/>
          <w:highlight w:val="none"/>
        </w:rPr>
      </w:pPr>
      <w:bookmarkStart w:id="109" w:name="_Toc7975"/>
      <w:bookmarkStart w:id="110" w:name="_Toc8376302"/>
      <w:r>
        <w:rPr>
          <w:rFonts w:hint="eastAsia" w:ascii="微软雅黑" w:hAnsi="微软雅黑" w:eastAsia="微软雅黑"/>
          <w:color w:val="auto"/>
          <w:sz w:val="28"/>
          <w:szCs w:val="28"/>
          <w:highlight w:val="none"/>
        </w:rPr>
        <w:t>13、比选响应文件份数和签署</w:t>
      </w:r>
      <w:bookmarkEnd w:id="109"/>
      <w:bookmarkEnd w:id="110"/>
    </w:p>
    <w:p w14:paraId="07B9CF89">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w:t>
      </w: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 xml:space="preserve"> 供应商应按照要求，准备</w:t>
      </w:r>
      <w:r>
        <w:rPr>
          <w:rFonts w:hint="eastAsia" w:ascii="微软雅黑" w:hAnsi="微软雅黑" w:eastAsia="微软雅黑"/>
          <w:color w:val="auto"/>
          <w:sz w:val="24"/>
          <w:szCs w:val="24"/>
          <w:highlight w:val="none"/>
          <w:lang w:val="en-US" w:eastAsia="zh-CN"/>
        </w:rPr>
        <w:t>一</w:t>
      </w:r>
      <w:r>
        <w:rPr>
          <w:rFonts w:hint="eastAsia" w:ascii="微软雅黑" w:hAnsi="微软雅黑" w:eastAsia="微软雅黑"/>
          <w:color w:val="auto"/>
          <w:sz w:val="24"/>
          <w:szCs w:val="24"/>
          <w:highlight w:val="none"/>
        </w:rPr>
        <w:t>式</w:t>
      </w:r>
      <w:r>
        <w:rPr>
          <w:rFonts w:hint="eastAsia" w:ascii="微软雅黑" w:hAnsi="微软雅黑" w:eastAsia="微软雅黑"/>
          <w:color w:val="auto"/>
          <w:sz w:val="24"/>
          <w:szCs w:val="24"/>
          <w:highlight w:val="none"/>
          <w:lang w:val="en-US" w:eastAsia="zh-CN"/>
        </w:rPr>
        <w:t>五</w:t>
      </w:r>
      <w:r>
        <w:rPr>
          <w:rFonts w:hint="eastAsia" w:ascii="微软雅黑" w:hAnsi="微软雅黑" w:eastAsia="微软雅黑"/>
          <w:color w:val="auto"/>
          <w:sz w:val="24"/>
          <w:szCs w:val="24"/>
          <w:highlight w:val="none"/>
        </w:rPr>
        <w:t>份比选响应文件</w:t>
      </w:r>
      <w:r>
        <w:rPr>
          <w:rFonts w:hint="eastAsia" w:ascii="微软雅黑" w:hAnsi="微软雅黑" w:eastAsia="微软雅黑"/>
          <w:color w:val="auto"/>
          <w:sz w:val="24"/>
          <w:szCs w:val="24"/>
          <w:highlight w:val="none"/>
          <w:lang w:val="en-US" w:eastAsia="zh-CN"/>
        </w:rPr>
        <w:t>【</w:t>
      </w:r>
      <w:r>
        <w:rPr>
          <w:rFonts w:hint="eastAsia" w:ascii="微软雅黑" w:hAnsi="微软雅黑" w:eastAsia="微软雅黑"/>
          <w:color w:val="auto"/>
          <w:sz w:val="24"/>
          <w:szCs w:val="24"/>
          <w:highlight w:val="none"/>
        </w:rPr>
        <w:t>正本1份，副本4份；投标文件全部内容的U盘1份（应标明项目名称及参选人单位名称）</w:t>
      </w:r>
      <w:r>
        <w:rPr>
          <w:rFonts w:hint="eastAsia" w:ascii="微软雅黑" w:hAnsi="微软雅黑" w:eastAsia="微软雅黑"/>
          <w:color w:val="auto"/>
          <w:sz w:val="24"/>
          <w:szCs w:val="24"/>
          <w:highlight w:val="none"/>
          <w:lang w:val="en-US" w:eastAsia="zh-CN"/>
        </w:rPr>
        <w:t>】</w:t>
      </w:r>
      <w:r>
        <w:rPr>
          <w:rFonts w:hint="eastAsia" w:ascii="微软雅黑" w:hAnsi="微软雅黑" w:eastAsia="微软雅黑"/>
          <w:color w:val="auto"/>
          <w:sz w:val="24"/>
          <w:szCs w:val="24"/>
          <w:highlight w:val="none"/>
        </w:rPr>
        <w:t>，并在封面上注明“正本”和“副本”字样。比选响应文件副本可采用正本的复印件，响应文件的正本与副本如有不一致之处，以正本为准。</w:t>
      </w:r>
    </w:p>
    <w:p w14:paraId="46912A1D">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w:t>
      </w: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 xml:space="preserve"> 比选响应文件的正本需打印（统一用A4复印纸，热敏纸无效）。依比选文件要求由供应商法定代表人亲自签署或经其正式授权并对供应商有合同约束力的人签字并加盖法人单位公章。如为授权代表签字的，授权代表须将以书面形式出具的《法人代表授权书》附在比选响应文件上，《法人代表授权书》必须有法人单位公章和法定代表人的签字或盖章。</w:t>
      </w:r>
    </w:p>
    <w:p w14:paraId="6D01B93A">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13.3 比选响应文件正本和副本需要逐页编目编码。</w:t>
      </w:r>
    </w:p>
    <w:p w14:paraId="1E512814">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4 除供应商对错处做必要修改外，比选响应文件不得行间插字、涂改或增删，如有修改错漏处，必须由供应商签字和盖章。</w:t>
      </w:r>
    </w:p>
    <w:p w14:paraId="12C64ADC">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13.5 电报、电话、传真形式的比选概不接受。</w:t>
      </w:r>
    </w:p>
    <w:p w14:paraId="4643E760">
      <w:pPr>
        <w:pStyle w:val="4"/>
        <w:numPr>
          <w:ilvl w:val="0"/>
          <w:numId w:val="4"/>
        </w:numPr>
        <w:spacing w:line="480" w:lineRule="exact"/>
        <w:rPr>
          <w:rFonts w:ascii="微软雅黑" w:hAnsi="微软雅黑" w:eastAsia="微软雅黑"/>
          <w:color w:val="auto"/>
          <w:sz w:val="36"/>
          <w:szCs w:val="36"/>
          <w:highlight w:val="none"/>
        </w:rPr>
      </w:pPr>
      <w:bookmarkStart w:id="111" w:name="_Hlt509650572"/>
      <w:bookmarkEnd w:id="111"/>
      <w:bookmarkStart w:id="112" w:name="_Toc8376303"/>
      <w:bookmarkStart w:id="113" w:name="_Toc147282127"/>
      <w:bookmarkStart w:id="114" w:name="_Toc29125"/>
      <w:r>
        <w:rPr>
          <w:rFonts w:hint="eastAsia" w:ascii="微软雅黑" w:hAnsi="微软雅黑" w:eastAsia="微软雅黑"/>
          <w:color w:val="auto"/>
          <w:sz w:val="36"/>
          <w:szCs w:val="36"/>
          <w:highlight w:val="none"/>
        </w:rPr>
        <w:t>比选响应文件的递交</w:t>
      </w:r>
      <w:bookmarkEnd w:id="112"/>
      <w:bookmarkEnd w:id="113"/>
      <w:bookmarkEnd w:id="114"/>
      <w:bookmarkStart w:id="115" w:name="_Hlt509649414"/>
      <w:bookmarkEnd w:id="115"/>
    </w:p>
    <w:p w14:paraId="3771DE05">
      <w:pPr>
        <w:pStyle w:val="4"/>
        <w:spacing w:line="480" w:lineRule="exact"/>
        <w:jc w:val="both"/>
        <w:rPr>
          <w:rFonts w:ascii="微软雅黑" w:hAnsi="微软雅黑" w:eastAsia="微软雅黑"/>
          <w:color w:val="auto"/>
          <w:sz w:val="28"/>
          <w:szCs w:val="28"/>
          <w:highlight w:val="none"/>
        </w:rPr>
      </w:pPr>
      <w:bookmarkStart w:id="116" w:name="_Toc8376304"/>
      <w:bookmarkStart w:id="117" w:name="_Toc2604"/>
      <w:r>
        <w:rPr>
          <w:rFonts w:hint="eastAsia" w:ascii="微软雅黑" w:hAnsi="微软雅黑" w:eastAsia="微软雅黑"/>
          <w:color w:val="auto"/>
          <w:sz w:val="28"/>
          <w:szCs w:val="28"/>
          <w:highlight w:val="none"/>
        </w:rPr>
        <w:t>14、比选响应文件的密封和标记</w:t>
      </w:r>
      <w:bookmarkEnd w:id="116"/>
      <w:bookmarkEnd w:id="117"/>
    </w:p>
    <w:p w14:paraId="42DA8E22">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14.1供应商</w:t>
      </w:r>
      <w:r>
        <w:rPr>
          <w:rFonts w:ascii="微软雅黑" w:hAnsi="微软雅黑" w:eastAsia="微软雅黑"/>
          <w:color w:val="auto"/>
          <w:sz w:val="24"/>
          <w:szCs w:val="24"/>
          <w:highlight w:val="none"/>
        </w:rPr>
        <w:t>应将</w:t>
      </w:r>
      <w:r>
        <w:rPr>
          <w:rFonts w:hint="eastAsia" w:ascii="微软雅黑" w:hAnsi="微软雅黑" w:eastAsia="微软雅黑"/>
          <w:color w:val="auto"/>
          <w:sz w:val="24"/>
          <w:szCs w:val="24"/>
          <w:highlight w:val="none"/>
        </w:rPr>
        <w:t>比选响应</w:t>
      </w:r>
      <w:r>
        <w:rPr>
          <w:rFonts w:ascii="微软雅黑" w:hAnsi="微软雅黑" w:eastAsia="微软雅黑"/>
          <w:color w:val="auto"/>
          <w:sz w:val="24"/>
          <w:szCs w:val="24"/>
          <w:highlight w:val="none"/>
        </w:rPr>
        <w:t>文件正、副本分别装订成册，在每个文本封面上标明“正本”或“副本”以及项目名称、采购编号、所</w:t>
      </w:r>
      <w:r>
        <w:rPr>
          <w:rFonts w:hint="eastAsia" w:ascii="微软雅黑" w:hAnsi="微软雅黑" w:eastAsia="微软雅黑"/>
          <w:color w:val="auto"/>
          <w:sz w:val="24"/>
          <w:szCs w:val="24"/>
          <w:highlight w:val="none"/>
        </w:rPr>
        <w:t>比选响应</w:t>
      </w:r>
      <w:r>
        <w:rPr>
          <w:rFonts w:ascii="微软雅黑" w:hAnsi="微软雅黑" w:eastAsia="微软雅黑"/>
          <w:color w:val="auto"/>
          <w:sz w:val="24"/>
          <w:szCs w:val="24"/>
          <w:highlight w:val="none"/>
        </w:rPr>
        <w:t>包号、</w:t>
      </w:r>
      <w:r>
        <w:rPr>
          <w:rFonts w:hint="eastAsia" w:ascii="微软雅黑" w:hAnsi="微软雅黑" w:eastAsia="微软雅黑"/>
          <w:color w:val="auto"/>
          <w:sz w:val="24"/>
          <w:szCs w:val="24"/>
          <w:highlight w:val="none"/>
        </w:rPr>
        <w:t>供应商</w:t>
      </w:r>
      <w:r>
        <w:rPr>
          <w:rFonts w:ascii="微软雅黑" w:hAnsi="微软雅黑" w:eastAsia="微软雅黑"/>
          <w:color w:val="auto"/>
          <w:sz w:val="24"/>
          <w:szCs w:val="24"/>
          <w:highlight w:val="none"/>
        </w:rPr>
        <w:t>名称等内容。</w:t>
      </w:r>
    </w:p>
    <w:p w14:paraId="1A8F1411">
      <w:pPr>
        <w:spacing w:line="480" w:lineRule="exact"/>
        <w:ind w:firstLine="549"/>
        <w:rPr>
          <w:rFonts w:ascii="微软雅黑" w:hAnsi="微软雅黑" w:eastAsia="微软雅黑"/>
          <w:b/>
          <w:color w:val="auto"/>
          <w:sz w:val="24"/>
          <w:szCs w:val="24"/>
          <w:highlight w:val="none"/>
        </w:rPr>
      </w:pPr>
      <w:r>
        <w:rPr>
          <w:rFonts w:hint="eastAsia" w:ascii="微软雅黑" w:hAnsi="微软雅黑" w:eastAsia="微软雅黑"/>
          <w:color w:val="auto"/>
          <w:sz w:val="24"/>
          <w:szCs w:val="24"/>
          <w:highlight w:val="none"/>
        </w:rPr>
        <w:t>14.2供应商应将比选响应文件</w:t>
      </w:r>
      <w:r>
        <w:rPr>
          <w:rFonts w:ascii="微软雅黑" w:hAnsi="微软雅黑" w:eastAsia="微软雅黑"/>
          <w:color w:val="auto"/>
          <w:sz w:val="24"/>
          <w:szCs w:val="24"/>
          <w:highlight w:val="none"/>
        </w:rPr>
        <w:t>正、副本（正本一份、副本</w:t>
      </w:r>
      <w:r>
        <w:rPr>
          <w:rFonts w:hint="eastAsia" w:ascii="微软雅黑" w:hAnsi="微软雅黑" w:eastAsia="微软雅黑"/>
          <w:color w:val="auto"/>
          <w:sz w:val="24"/>
          <w:szCs w:val="24"/>
          <w:highlight w:val="none"/>
          <w:lang w:val="en-US" w:eastAsia="zh-CN"/>
        </w:rPr>
        <w:t>四</w:t>
      </w:r>
      <w:r>
        <w:rPr>
          <w:rFonts w:hint="eastAsia" w:ascii="微软雅黑" w:hAnsi="微软雅黑" w:eastAsia="微软雅黑"/>
          <w:color w:val="auto"/>
          <w:sz w:val="24"/>
          <w:szCs w:val="24"/>
          <w:highlight w:val="none"/>
        </w:rPr>
        <w:t>份</w:t>
      </w:r>
      <w:r>
        <w:rPr>
          <w:rFonts w:hint="eastAsia" w:ascii="微软雅黑" w:hAnsi="微软雅黑" w:eastAsia="微软雅黑"/>
          <w:color w:val="auto"/>
          <w:sz w:val="24"/>
          <w:szCs w:val="24"/>
          <w:highlight w:val="none"/>
          <w:lang w:eastAsia="zh-CN"/>
        </w:rPr>
        <w:t>、U盘</w:t>
      </w:r>
      <w:r>
        <w:rPr>
          <w:rFonts w:hint="eastAsia" w:ascii="微软雅黑" w:hAnsi="微软雅黑" w:eastAsia="微软雅黑"/>
          <w:color w:val="auto"/>
          <w:sz w:val="24"/>
          <w:szCs w:val="24"/>
          <w:highlight w:val="none"/>
          <w:lang w:val="en-US" w:eastAsia="zh-CN"/>
        </w:rPr>
        <w:t>一</w:t>
      </w:r>
      <w:r>
        <w:rPr>
          <w:rFonts w:hint="eastAsia" w:ascii="微软雅黑" w:hAnsi="微软雅黑" w:eastAsia="微软雅黑"/>
          <w:color w:val="auto"/>
          <w:sz w:val="24"/>
          <w:szCs w:val="24"/>
          <w:highlight w:val="none"/>
          <w:lang w:eastAsia="zh-CN"/>
        </w:rPr>
        <w:t>份</w:t>
      </w:r>
      <w:r>
        <w:rPr>
          <w:rFonts w:ascii="微软雅黑" w:hAnsi="微软雅黑" w:eastAsia="微软雅黑"/>
          <w:color w:val="auto"/>
          <w:sz w:val="24"/>
          <w:szCs w:val="24"/>
          <w:highlight w:val="none"/>
        </w:rPr>
        <w:t>）一并装入文件袋中加以</w:t>
      </w:r>
      <w:r>
        <w:rPr>
          <w:rFonts w:hint="eastAsia" w:ascii="微软雅黑" w:hAnsi="微软雅黑" w:eastAsia="微软雅黑"/>
          <w:color w:val="auto"/>
          <w:sz w:val="24"/>
          <w:szCs w:val="24"/>
          <w:highlight w:val="none"/>
        </w:rPr>
        <w:t>密封</w:t>
      </w:r>
      <w:r>
        <w:rPr>
          <w:rFonts w:ascii="微软雅黑" w:hAnsi="微软雅黑" w:eastAsia="微软雅黑"/>
          <w:color w:val="auto"/>
          <w:sz w:val="24"/>
          <w:szCs w:val="24"/>
          <w:highlight w:val="none"/>
        </w:rPr>
        <w:t>，并在每一封贴处密封签章（公章、密封章、法定代表人或其委托代理人签字均可）</w:t>
      </w:r>
      <w:r>
        <w:rPr>
          <w:rFonts w:hint="eastAsia" w:ascii="微软雅黑" w:hAnsi="微软雅黑" w:eastAsia="微软雅黑"/>
          <w:color w:val="auto"/>
          <w:sz w:val="24"/>
          <w:szCs w:val="24"/>
          <w:highlight w:val="none"/>
        </w:rPr>
        <w:t>。</w:t>
      </w:r>
    </w:p>
    <w:p w14:paraId="06449F22">
      <w:pPr>
        <w:spacing w:line="480" w:lineRule="exact"/>
        <w:ind w:firstLine="549"/>
        <w:rPr>
          <w:rFonts w:ascii="微软雅黑" w:hAnsi="微软雅黑" w:eastAsia="微软雅黑"/>
          <w:color w:val="auto"/>
          <w:sz w:val="24"/>
          <w:szCs w:val="24"/>
          <w:highlight w:val="none"/>
        </w:rPr>
      </w:pPr>
      <w:bookmarkStart w:id="118" w:name="_Hlt509650747"/>
      <w:bookmarkEnd w:id="118"/>
      <w:r>
        <w:rPr>
          <w:rFonts w:hint="eastAsia" w:ascii="微软雅黑" w:hAnsi="微软雅黑" w:eastAsia="微软雅黑"/>
          <w:color w:val="auto"/>
          <w:sz w:val="24"/>
          <w:szCs w:val="24"/>
          <w:highlight w:val="none"/>
        </w:rPr>
        <w:t>14.3</w:t>
      </w:r>
      <w:r>
        <w:rPr>
          <w:rFonts w:ascii="微软雅黑" w:hAnsi="微软雅黑" w:eastAsia="微软雅黑"/>
          <w:color w:val="auto"/>
          <w:sz w:val="24"/>
          <w:szCs w:val="24"/>
          <w:highlight w:val="none"/>
        </w:rPr>
        <w:t>文件袋（箱）</w:t>
      </w:r>
      <w:r>
        <w:rPr>
          <w:rFonts w:hint="eastAsia" w:ascii="微软雅黑" w:hAnsi="微软雅黑" w:eastAsia="微软雅黑"/>
          <w:color w:val="auto"/>
          <w:sz w:val="24"/>
          <w:szCs w:val="24"/>
          <w:highlight w:val="none"/>
        </w:rPr>
        <w:t>均应：</w:t>
      </w:r>
    </w:p>
    <w:p w14:paraId="6FB8AAD3">
      <w:pPr>
        <w:spacing w:line="480" w:lineRule="exact"/>
        <w:ind w:firstLine="549"/>
        <w:rPr>
          <w:rFonts w:ascii="微软雅黑" w:hAnsi="微软雅黑" w:eastAsia="微软雅黑"/>
          <w:b/>
          <w:color w:val="auto"/>
          <w:sz w:val="24"/>
          <w:szCs w:val="24"/>
          <w:highlight w:val="none"/>
        </w:rPr>
      </w:pPr>
      <w:r>
        <w:rPr>
          <w:rFonts w:hint="eastAsia" w:ascii="微软雅黑" w:hAnsi="微软雅黑" w:eastAsia="微软雅黑"/>
          <w:color w:val="auto"/>
          <w:sz w:val="24"/>
          <w:szCs w:val="24"/>
          <w:highlight w:val="none"/>
        </w:rPr>
        <w:t>⑴写明项目名称、采购编号、供应商名称并于袋口</w:t>
      </w:r>
      <w:r>
        <w:rPr>
          <w:rFonts w:ascii="微软雅黑" w:hAnsi="微软雅黑" w:eastAsia="微软雅黑"/>
          <w:color w:val="auto"/>
          <w:sz w:val="24"/>
          <w:szCs w:val="24"/>
          <w:highlight w:val="none"/>
        </w:rPr>
        <w:t>密封签章</w:t>
      </w:r>
      <w:r>
        <w:rPr>
          <w:rFonts w:hint="eastAsia" w:ascii="微软雅黑" w:hAnsi="微软雅黑" w:eastAsia="微软雅黑"/>
          <w:color w:val="auto"/>
          <w:sz w:val="24"/>
          <w:szCs w:val="24"/>
          <w:highlight w:val="none"/>
        </w:rPr>
        <w:t>。</w:t>
      </w:r>
    </w:p>
    <w:p w14:paraId="17304445">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⑵按供应商须知前附表注明的地址递送；</w:t>
      </w:r>
    </w:p>
    <w:p w14:paraId="610B2069">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⑶注明“请勿于比选时间之前启封”的字样。</w:t>
      </w:r>
    </w:p>
    <w:p w14:paraId="6B107253">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14.4供应商</w:t>
      </w:r>
      <w:r>
        <w:rPr>
          <w:rFonts w:ascii="微软雅黑" w:hAnsi="微软雅黑" w:eastAsia="微软雅黑"/>
          <w:color w:val="auto"/>
          <w:sz w:val="24"/>
          <w:szCs w:val="24"/>
          <w:highlight w:val="none"/>
        </w:rPr>
        <w:t>在递交</w:t>
      </w:r>
      <w:r>
        <w:rPr>
          <w:rFonts w:hint="eastAsia" w:ascii="微软雅黑" w:hAnsi="微软雅黑" w:eastAsia="微软雅黑"/>
          <w:color w:val="auto"/>
          <w:sz w:val="24"/>
          <w:szCs w:val="24"/>
          <w:highlight w:val="none"/>
        </w:rPr>
        <w:t>比选响应</w:t>
      </w:r>
      <w:r>
        <w:rPr>
          <w:rFonts w:ascii="微软雅黑" w:hAnsi="微软雅黑" w:eastAsia="微软雅黑"/>
          <w:color w:val="auto"/>
          <w:sz w:val="24"/>
          <w:szCs w:val="24"/>
          <w:highlight w:val="none"/>
        </w:rPr>
        <w:t>文件时，未按本须知要求密封、标记的，</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有权拒收。</w:t>
      </w:r>
    </w:p>
    <w:p w14:paraId="7C4FCD12">
      <w:pPr>
        <w:pStyle w:val="4"/>
        <w:spacing w:line="480" w:lineRule="exact"/>
        <w:jc w:val="both"/>
        <w:rPr>
          <w:rFonts w:ascii="微软雅黑" w:hAnsi="微软雅黑" w:eastAsia="微软雅黑"/>
          <w:color w:val="auto"/>
          <w:sz w:val="30"/>
          <w:szCs w:val="30"/>
          <w:highlight w:val="none"/>
        </w:rPr>
      </w:pPr>
      <w:bookmarkStart w:id="119" w:name="_Toc8376305"/>
      <w:bookmarkStart w:id="120" w:name="_Toc16869"/>
      <w:r>
        <w:rPr>
          <w:rFonts w:hint="eastAsia" w:ascii="微软雅黑" w:hAnsi="微软雅黑" w:eastAsia="微软雅黑"/>
          <w:color w:val="auto"/>
          <w:sz w:val="28"/>
          <w:szCs w:val="28"/>
          <w:highlight w:val="none"/>
        </w:rPr>
        <w:t>15、比选响应文件递交截止期</w:t>
      </w:r>
      <w:bookmarkEnd w:id="119"/>
      <w:bookmarkEnd w:id="120"/>
      <w:r>
        <w:rPr>
          <w:rFonts w:hint="eastAsia" w:ascii="微软雅黑" w:hAnsi="微软雅黑" w:eastAsia="微软雅黑"/>
          <w:color w:val="auto"/>
          <w:sz w:val="30"/>
          <w:szCs w:val="30"/>
          <w:highlight w:val="none"/>
        </w:rPr>
        <w:t xml:space="preserve"> </w:t>
      </w:r>
    </w:p>
    <w:p w14:paraId="05D3BFDD">
      <w:pPr>
        <w:spacing w:line="480" w:lineRule="exact"/>
        <w:ind w:firstLine="549"/>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rPr>
        <w:t>15.1比选响应文件必须在比选邀请规定的比选截止时间前送达指定的比选地点，否则将不予以接收。</w:t>
      </w:r>
    </w:p>
    <w:p w14:paraId="5C5AB540">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15.2采购代理机构可按规定以补充通知的方式，酌情延长递交比选响应文件的截止日期。在上述情况下，采购代理机构和供应商在竞争性响应文件递交截止期方面的全部权力、责任和义务，将适用于延长后新的比选响应文件递交截止期。</w:t>
      </w:r>
    </w:p>
    <w:p w14:paraId="11FE0A14">
      <w:pPr>
        <w:pStyle w:val="4"/>
        <w:spacing w:line="480" w:lineRule="exact"/>
        <w:jc w:val="both"/>
        <w:rPr>
          <w:rFonts w:ascii="微软雅黑" w:hAnsi="微软雅黑" w:eastAsia="微软雅黑"/>
          <w:color w:val="auto"/>
          <w:sz w:val="28"/>
          <w:szCs w:val="28"/>
          <w:highlight w:val="none"/>
        </w:rPr>
      </w:pPr>
      <w:bookmarkStart w:id="121" w:name="_Toc17120"/>
      <w:bookmarkStart w:id="122" w:name="_Toc8376306"/>
      <w:r>
        <w:rPr>
          <w:rFonts w:hint="eastAsia" w:ascii="微软雅黑" w:hAnsi="微软雅黑" w:eastAsia="微软雅黑"/>
          <w:color w:val="auto"/>
          <w:sz w:val="28"/>
          <w:szCs w:val="28"/>
          <w:highlight w:val="none"/>
        </w:rPr>
        <w:t>16、比选响应文件的修改和撤回</w:t>
      </w:r>
      <w:bookmarkEnd w:id="121"/>
      <w:bookmarkEnd w:id="122"/>
    </w:p>
    <w:p w14:paraId="183FB80E">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16</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1 供应商在递交比选响应文件后，可以修改或撤回其比选响应文件，但这种修改和撤回，必须在规定的比选响应文件递交截止时间前，并以书面形式通知采购代理机构。在比选响应文件递交截止时间后，供应商不得再要求修改或撤回其比选响应文件。</w:t>
      </w:r>
    </w:p>
    <w:p w14:paraId="4D41815D">
      <w:pPr>
        <w:pStyle w:val="12"/>
        <w:spacing w:line="480" w:lineRule="exact"/>
        <w:ind w:firstLine="566" w:firstLineChars="236"/>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6</w:t>
      </w: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 xml:space="preserve"> 供应商对比选响应文件修改的书面材料或撤回通知书，应按规定进行编制、密封、标记和递交，且在信封上标明“修改”或“撤回”字样。</w:t>
      </w:r>
    </w:p>
    <w:p w14:paraId="3745157D">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16.3在比选响应文件递交截止时间与比选文件规定的有效期终止日之间的这段时间内，供应商不能撤回比选响应文件，否则其比选保证金将不予退还。</w:t>
      </w:r>
    </w:p>
    <w:p w14:paraId="2E079F18">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16.4 供应商对其提交的比选响应文件的真实性、合法性承担法律责任。</w:t>
      </w:r>
    </w:p>
    <w:p w14:paraId="23FF031F">
      <w:pPr>
        <w:pStyle w:val="4"/>
        <w:numPr>
          <w:ilvl w:val="0"/>
          <w:numId w:val="4"/>
        </w:numPr>
        <w:spacing w:line="480" w:lineRule="exact"/>
        <w:rPr>
          <w:rFonts w:ascii="微软雅黑" w:hAnsi="微软雅黑" w:eastAsia="微软雅黑"/>
          <w:color w:val="auto"/>
          <w:sz w:val="36"/>
          <w:szCs w:val="36"/>
          <w:highlight w:val="none"/>
        </w:rPr>
      </w:pPr>
      <w:bookmarkStart w:id="123" w:name="_Hlt509649294"/>
      <w:bookmarkEnd w:id="123"/>
      <w:bookmarkStart w:id="124" w:name="_Hlt509649412"/>
      <w:bookmarkEnd w:id="124"/>
      <w:bookmarkStart w:id="125" w:name="_Toc319584552"/>
      <w:bookmarkStart w:id="126" w:name="_Toc147282128"/>
      <w:bookmarkStart w:id="127" w:name="_Toc8376307"/>
      <w:bookmarkStart w:id="128" w:name="_Toc1708"/>
      <w:r>
        <w:rPr>
          <w:rFonts w:hint="eastAsia" w:ascii="微软雅黑" w:hAnsi="微软雅黑" w:eastAsia="微软雅黑"/>
          <w:color w:val="auto"/>
          <w:sz w:val="36"/>
          <w:szCs w:val="36"/>
          <w:highlight w:val="none"/>
        </w:rPr>
        <w:t>比选程序及比选方法</w:t>
      </w:r>
      <w:bookmarkEnd w:id="125"/>
      <w:bookmarkEnd w:id="126"/>
      <w:bookmarkEnd w:id="127"/>
      <w:bookmarkEnd w:id="128"/>
    </w:p>
    <w:p w14:paraId="54A42798">
      <w:pPr>
        <w:pStyle w:val="4"/>
        <w:spacing w:line="480" w:lineRule="exact"/>
        <w:jc w:val="both"/>
        <w:rPr>
          <w:rFonts w:ascii="微软雅黑" w:hAnsi="微软雅黑" w:eastAsia="微软雅黑"/>
          <w:color w:val="auto"/>
          <w:sz w:val="28"/>
          <w:szCs w:val="28"/>
          <w:highlight w:val="none"/>
        </w:rPr>
      </w:pPr>
      <w:bookmarkStart w:id="129" w:name="_Toc27008"/>
      <w:bookmarkStart w:id="130" w:name="_Toc8376308"/>
      <w:r>
        <w:rPr>
          <w:rFonts w:hint="eastAsia" w:ascii="微软雅黑" w:hAnsi="微软雅黑" w:eastAsia="微软雅黑"/>
          <w:color w:val="auto"/>
          <w:sz w:val="28"/>
          <w:szCs w:val="28"/>
          <w:highlight w:val="none"/>
        </w:rPr>
        <w:t>17、组建</w:t>
      </w:r>
      <w:r>
        <w:rPr>
          <w:rFonts w:ascii="微软雅黑" w:hAnsi="微软雅黑" w:eastAsia="微软雅黑"/>
          <w:color w:val="auto"/>
          <w:sz w:val="28"/>
          <w:szCs w:val="28"/>
          <w:highlight w:val="none"/>
        </w:rPr>
        <w:t>比选小组</w:t>
      </w:r>
      <w:bookmarkEnd w:id="129"/>
      <w:bookmarkEnd w:id="130"/>
    </w:p>
    <w:p w14:paraId="20462D57">
      <w:pPr>
        <w:pStyle w:val="12"/>
        <w:spacing w:line="480" w:lineRule="exact"/>
        <w:ind w:firstLine="480" w:firstLineChars="200"/>
        <w:rPr>
          <w:rFonts w:ascii="微软雅黑" w:hAnsi="微软雅黑" w:eastAsia="微软雅黑"/>
          <w:bCs/>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7.</w:t>
      </w:r>
      <w:r>
        <w:rPr>
          <w:rFonts w:ascii="微软雅黑" w:hAnsi="微软雅黑" w:eastAsia="微软雅黑"/>
          <w:bCs/>
          <w:color w:val="auto"/>
          <w:sz w:val="24"/>
          <w:szCs w:val="24"/>
          <w:highlight w:val="none"/>
        </w:rPr>
        <w:t>1</w:t>
      </w:r>
      <w:r>
        <w:rPr>
          <w:rFonts w:hint="eastAsia" w:ascii="微软雅黑" w:hAnsi="微软雅黑" w:eastAsia="微软雅黑"/>
          <w:bCs/>
          <w:color w:val="auto"/>
          <w:sz w:val="24"/>
          <w:szCs w:val="24"/>
          <w:highlight w:val="none"/>
        </w:rPr>
        <w:t>在相关的评标专家库中随机抽取评标专家，依法组建评标委员会。</w:t>
      </w:r>
      <w:r>
        <w:rPr>
          <w:rFonts w:ascii="微软雅黑" w:hAnsi="微软雅黑" w:eastAsia="微软雅黑"/>
          <w:bCs/>
          <w:color w:val="auto"/>
          <w:sz w:val="24"/>
          <w:szCs w:val="24"/>
          <w:highlight w:val="none"/>
        </w:rPr>
        <w:t>成立比选小组。</w:t>
      </w:r>
    </w:p>
    <w:p w14:paraId="50328C3E">
      <w:pPr>
        <w:pStyle w:val="12"/>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bCs/>
          <w:color w:val="auto"/>
          <w:sz w:val="24"/>
          <w:szCs w:val="24"/>
          <w:highlight w:val="none"/>
        </w:rPr>
        <w:t>1</w:t>
      </w:r>
      <w:r>
        <w:rPr>
          <w:rFonts w:hint="eastAsia" w:ascii="微软雅黑" w:hAnsi="微软雅黑" w:eastAsia="微软雅黑"/>
          <w:bCs/>
          <w:color w:val="auto"/>
          <w:sz w:val="24"/>
          <w:szCs w:val="24"/>
          <w:highlight w:val="none"/>
        </w:rPr>
        <w:t>7</w:t>
      </w:r>
      <w:r>
        <w:rPr>
          <w:rFonts w:ascii="微软雅黑" w:hAnsi="微软雅黑" w:eastAsia="微软雅黑"/>
          <w:bCs/>
          <w:color w:val="auto"/>
          <w:sz w:val="24"/>
          <w:szCs w:val="24"/>
          <w:highlight w:val="none"/>
        </w:rPr>
        <w:t>.2比选时，采购代理机构宣布比选纪律和比选工作规则，并请各比选专家遵照执行。比选专家签署《采购项目评审专家承诺书》，推选比选小组</w:t>
      </w:r>
      <w:r>
        <w:rPr>
          <w:rFonts w:hint="eastAsia" w:ascii="微软雅黑" w:hAnsi="微软雅黑" w:eastAsia="微软雅黑"/>
          <w:bCs/>
          <w:color w:val="auto"/>
          <w:sz w:val="24"/>
          <w:szCs w:val="24"/>
          <w:highlight w:val="none"/>
        </w:rPr>
        <w:t>负责人</w:t>
      </w:r>
      <w:r>
        <w:rPr>
          <w:rFonts w:ascii="微软雅黑" w:hAnsi="微软雅黑" w:eastAsia="微软雅黑"/>
          <w:bCs/>
          <w:color w:val="auto"/>
          <w:sz w:val="24"/>
          <w:szCs w:val="24"/>
          <w:highlight w:val="none"/>
        </w:rPr>
        <w:t>。</w:t>
      </w:r>
      <w:r>
        <w:rPr>
          <w:rFonts w:hint="eastAsia" w:ascii="微软雅黑" w:hAnsi="微软雅黑" w:eastAsia="微软雅黑"/>
          <w:bCs/>
          <w:color w:val="auto"/>
          <w:sz w:val="24"/>
          <w:szCs w:val="24"/>
          <w:highlight w:val="none"/>
        </w:rPr>
        <w:t xml:space="preserve"> </w:t>
      </w:r>
    </w:p>
    <w:p w14:paraId="671EE2A3">
      <w:pPr>
        <w:pStyle w:val="8"/>
        <w:spacing w:line="480" w:lineRule="exact"/>
        <w:ind w:firstLine="480" w:firstLineChars="200"/>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17.3比选小组成员应当按照客观、公正、审慎的原则，根据比选文件规定的比选程序、比选方法和评审标准进行独立评审。以比选文件、比选响应文件及相关的法律法规为评审依据，比选小组判断响应文件的响应性仅基于应文件本身内容，不寻求供应商提供的其他外部证据，但响应文件中有不真实不正确的内容时除外。</w:t>
      </w:r>
    </w:p>
    <w:p w14:paraId="2FA8D5C0">
      <w:pPr>
        <w:pStyle w:val="4"/>
        <w:spacing w:line="480" w:lineRule="exact"/>
        <w:jc w:val="both"/>
        <w:rPr>
          <w:rFonts w:ascii="微软雅黑" w:hAnsi="微软雅黑" w:eastAsia="微软雅黑"/>
          <w:color w:val="auto"/>
          <w:sz w:val="28"/>
          <w:szCs w:val="28"/>
          <w:highlight w:val="none"/>
        </w:rPr>
      </w:pPr>
      <w:bookmarkStart w:id="131" w:name="_Hlt509650722"/>
      <w:bookmarkEnd w:id="131"/>
      <w:bookmarkStart w:id="132" w:name="_Toc8376309"/>
      <w:bookmarkStart w:id="133" w:name="_Toc28432"/>
      <w:r>
        <w:rPr>
          <w:rFonts w:ascii="微软雅黑" w:hAnsi="微软雅黑" w:eastAsia="微软雅黑"/>
          <w:color w:val="auto"/>
          <w:sz w:val="28"/>
          <w:szCs w:val="28"/>
          <w:highlight w:val="none"/>
        </w:rPr>
        <w:t>1</w:t>
      </w:r>
      <w:r>
        <w:rPr>
          <w:rFonts w:hint="eastAsia" w:ascii="微软雅黑" w:hAnsi="微软雅黑" w:eastAsia="微软雅黑"/>
          <w:color w:val="auto"/>
          <w:sz w:val="28"/>
          <w:szCs w:val="28"/>
          <w:highlight w:val="none"/>
        </w:rPr>
        <w:t>8、</w:t>
      </w:r>
      <w:bookmarkEnd w:id="132"/>
      <w:r>
        <w:rPr>
          <w:rFonts w:hint="eastAsia" w:ascii="微软雅黑" w:hAnsi="微软雅黑" w:eastAsia="微软雅黑"/>
          <w:color w:val="auto"/>
          <w:sz w:val="28"/>
          <w:szCs w:val="28"/>
          <w:highlight w:val="none"/>
        </w:rPr>
        <w:t>比选组织</w:t>
      </w:r>
      <w:bookmarkEnd w:id="133"/>
    </w:p>
    <w:p w14:paraId="4FE517E7">
      <w:pPr>
        <w:spacing w:line="480" w:lineRule="exact"/>
        <w:ind w:firstLine="540" w:firstLineChars="225"/>
        <w:rPr>
          <w:rFonts w:ascii="微软雅黑" w:hAnsi="微软雅黑" w:eastAsia="微软雅黑"/>
          <w:bCs/>
          <w:color w:val="auto"/>
          <w:sz w:val="24"/>
          <w:szCs w:val="24"/>
          <w:highlight w:val="none"/>
        </w:rPr>
      </w:pPr>
      <w:bookmarkStart w:id="134" w:name="_Toc499220108"/>
      <w:bookmarkStart w:id="135" w:name="_Toc8376310"/>
      <w:r>
        <w:rPr>
          <w:rFonts w:hint="eastAsia" w:ascii="微软雅黑" w:hAnsi="微软雅黑" w:eastAsia="微软雅黑"/>
          <w:bCs/>
          <w:color w:val="auto"/>
          <w:sz w:val="24"/>
          <w:szCs w:val="24"/>
          <w:highlight w:val="none"/>
        </w:rPr>
        <w:t>18.1 招标代理机构在比选文件规定的时间和地点组织公开开标。开标时邀请所有投标人代表参加。参加开标的代表应签名报到以证明其出席。</w:t>
      </w:r>
    </w:p>
    <w:p w14:paraId="172487FD">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18.2 开标时查验投标文件密封情况，确认无误后拆封唱标。</w:t>
      </w:r>
    </w:p>
    <w:p w14:paraId="719F1C42">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18.3 开标时，招标代理机构将宣读投标人名称、以及招标代理机构认为合适的其他内容。投标人不足</w:t>
      </w:r>
      <w:r>
        <w:rPr>
          <w:rFonts w:ascii="微软雅黑" w:hAnsi="微软雅黑" w:eastAsia="微软雅黑"/>
          <w:bCs/>
          <w:color w:val="auto"/>
          <w:sz w:val="24"/>
          <w:szCs w:val="24"/>
          <w:highlight w:val="none"/>
        </w:rPr>
        <w:t>3</w:t>
      </w:r>
      <w:r>
        <w:rPr>
          <w:rFonts w:hint="eastAsia" w:ascii="微软雅黑" w:hAnsi="微软雅黑" w:eastAsia="微软雅黑"/>
          <w:bCs/>
          <w:color w:val="auto"/>
          <w:sz w:val="24"/>
          <w:szCs w:val="24"/>
          <w:highlight w:val="none"/>
        </w:rPr>
        <w:t>家的，不得开标。</w:t>
      </w:r>
    </w:p>
    <w:p w14:paraId="073B9675">
      <w:pPr>
        <w:spacing w:line="480" w:lineRule="exact"/>
        <w:ind w:firstLine="540" w:firstLineChars="225"/>
        <w:rPr>
          <w:rFonts w:ascii="微软雅黑" w:hAnsi="微软雅黑" w:eastAsia="微软雅黑"/>
          <w:bCs/>
          <w:color w:val="auto"/>
          <w:sz w:val="24"/>
          <w:szCs w:val="24"/>
          <w:highlight w:val="none"/>
        </w:rPr>
      </w:pPr>
      <w:bookmarkStart w:id="136" w:name="_Toc286758332"/>
      <w:r>
        <w:rPr>
          <w:rFonts w:hint="eastAsia" w:ascii="微软雅黑" w:hAnsi="微软雅黑" w:eastAsia="微软雅黑"/>
          <w:bCs/>
          <w:color w:val="auto"/>
          <w:sz w:val="24"/>
          <w:szCs w:val="24"/>
          <w:highlight w:val="none"/>
        </w:rPr>
        <w:t>18.4</w:t>
      </w:r>
      <w:bookmarkEnd w:id="136"/>
      <w:r>
        <w:rPr>
          <w:rFonts w:hint="eastAsia" w:ascii="微软雅黑" w:hAnsi="微软雅黑" w:eastAsia="微软雅黑"/>
          <w:bCs/>
          <w:color w:val="auto"/>
          <w:sz w:val="24"/>
          <w:szCs w:val="24"/>
          <w:highlight w:val="none"/>
        </w:rPr>
        <w:t>投标人对开标有异议的，应当在开标现场提出，否则视为对开标无异议。招标代理机构将对开标异议（如有）进行记录。</w:t>
      </w:r>
    </w:p>
    <w:bookmarkEnd w:id="134"/>
    <w:p w14:paraId="07DB8595">
      <w:pPr>
        <w:pStyle w:val="4"/>
        <w:spacing w:line="480" w:lineRule="exact"/>
        <w:jc w:val="both"/>
        <w:rPr>
          <w:rFonts w:ascii="微软雅黑" w:hAnsi="微软雅黑" w:eastAsia="微软雅黑"/>
          <w:color w:val="auto"/>
          <w:sz w:val="28"/>
          <w:szCs w:val="28"/>
          <w:highlight w:val="none"/>
        </w:rPr>
      </w:pPr>
      <w:bookmarkStart w:id="137" w:name="_Toc27178"/>
      <w:r>
        <w:rPr>
          <w:rFonts w:hint="eastAsia" w:ascii="微软雅黑" w:hAnsi="微软雅黑" w:eastAsia="微软雅黑"/>
          <w:color w:val="auto"/>
          <w:sz w:val="28"/>
          <w:szCs w:val="28"/>
          <w:highlight w:val="none"/>
        </w:rPr>
        <w:t>19、比选程序</w:t>
      </w:r>
      <w:bookmarkEnd w:id="135"/>
      <w:bookmarkEnd w:id="137"/>
    </w:p>
    <w:p w14:paraId="300F30B5">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19.1投标文件的初审分为：</w:t>
      </w:r>
    </w:p>
    <w:p w14:paraId="614DB728">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（1）资格性检查。依据法律法规和比选文件的规定，对投标文件中的资格证明、比选保证金等进行审查，以确定投标人是否具备投标资格。</w:t>
      </w:r>
    </w:p>
    <w:p w14:paraId="1ED6AF09">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（2）符合性检查。依据比选文件的规定，从投标文件的有效性、完整性和对比选文件的响应程度、有无计算错误进行审查，以确定是否对比选文件的实质性要求作出响应。</w:t>
      </w:r>
    </w:p>
    <w:p w14:paraId="09AC3AC9">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19.2 初审中，按照下列规定修正：</w:t>
      </w:r>
    </w:p>
    <w:p w14:paraId="426D179E">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（1）投标文件中开标一览表内容与投标文件中相应内容不一致的，以开标一览表为准；</w:t>
      </w:r>
    </w:p>
    <w:p w14:paraId="43D498C3">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（2）大写金额和小写金额不一致的，以大写金额为准；</w:t>
      </w:r>
    </w:p>
    <w:p w14:paraId="5CB091C9">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同时出现两种以上不一致的，按照前款规定的顺序修正。修正后的报价按照投标人的澄清、说明或者补正应当采用书面形式，并加盖公章，或者由法定代表人或其授权的代表签字。投标人的澄清、说明或者补正不得超出投标文件的范围或者改变投标文件的实质性内容的规定，经投标人确认后产生约束力，投标人不确认的，其投标无效。</w:t>
      </w:r>
    </w:p>
    <w:p w14:paraId="75D73A17">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19.3 评标委员会可以允许投标文件中存在不构成实质性偏差的不正规、不一致或不规范，但不能损害或影响任何投标人的相对排序。</w:t>
      </w:r>
    </w:p>
    <w:p w14:paraId="4E6BA8AB">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19.4 实质上没有响应比选文件要求的投标将视为无效投标。投标人不得通过修正或撤销不合要求的偏离或保留从而使投标成为实质上响应的投标。如发生下列情况之一的，其投标将被视为无效投标：</w:t>
      </w:r>
    </w:p>
    <w:p w14:paraId="76268EEF">
      <w:pPr>
        <w:tabs>
          <w:tab w:val="left" w:pos="864"/>
        </w:tabs>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未提交投标书的；</w:t>
      </w:r>
    </w:p>
    <w:p w14:paraId="39F96EA5">
      <w:pPr>
        <w:tabs>
          <w:tab w:val="left" w:pos="864"/>
        </w:tabs>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未提交开标一览表；</w:t>
      </w:r>
    </w:p>
    <w:p w14:paraId="6FB7DAA9">
      <w:pPr>
        <w:tabs>
          <w:tab w:val="left" w:pos="864"/>
        </w:tabs>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投标人未提交比选保证金或金额不足，比选保证金形式不符合比选文件要求的；</w:t>
      </w:r>
    </w:p>
    <w:p w14:paraId="0FA0C5F3">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4)未按比选文件要求提供资格证明文件中资格证明文件不全的；</w:t>
      </w:r>
    </w:p>
    <w:p w14:paraId="2EED69DD">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5)未按比选文件要求加盖单位公章的，法人代表授权书无法定代表人签字（签章）/签字（签章）人无法定代表人有效委托的；</w:t>
      </w:r>
    </w:p>
    <w:p w14:paraId="0476E891">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6)投标有效期不足的；</w:t>
      </w:r>
    </w:p>
    <w:p w14:paraId="18B4BD2C">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7)投标文件中的响应与事实不符或虚假投标的；</w:t>
      </w:r>
    </w:p>
    <w:p w14:paraId="4802FC01">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8)未实质性响应比选文件中比选项目需求；</w:t>
      </w:r>
    </w:p>
    <w:p w14:paraId="3DE980FF">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9)比选文件中规定的其他无效投标条款；</w:t>
      </w:r>
    </w:p>
    <w:p w14:paraId="26EC1D3D">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10)法律、法规和比选文件规定的其他无效情形。</w:t>
      </w:r>
    </w:p>
    <w:p w14:paraId="40F277B4">
      <w:pPr>
        <w:pStyle w:val="4"/>
        <w:spacing w:line="480" w:lineRule="exact"/>
        <w:jc w:val="both"/>
        <w:rPr>
          <w:rFonts w:ascii="微软雅黑" w:hAnsi="微软雅黑" w:eastAsia="微软雅黑"/>
          <w:color w:val="auto"/>
          <w:sz w:val="28"/>
          <w:szCs w:val="28"/>
          <w:highlight w:val="none"/>
        </w:rPr>
      </w:pPr>
      <w:bookmarkStart w:id="138" w:name="_Toc21422"/>
      <w:r>
        <w:rPr>
          <w:rFonts w:hint="eastAsia" w:ascii="微软雅黑" w:hAnsi="微软雅黑" w:eastAsia="微软雅黑"/>
          <w:color w:val="auto"/>
          <w:sz w:val="28"/>
          <w:szCs w:val="28"/>
          <w:highlight w:val="none"/>
        </w:rPr>
        <w:t>20、评价和比较</w:t>
      </w:r>
      <w:bookmarkEnd w:id="138"/>
    </w:p>
    <w:p w14:paraId="16404B7A">
      <w:pPr>
        <w:pStyle w:val="12"/>
        <w:spacing w:line="480" w:lineRule="exact"/>
        <w:ind w:firstLine="540" w:firstLineChars="225"/>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20.1.1 评审方法：本项目采用 ‌“最低投标价法”的变体，即“完全响应+价格调减竞争”法‌。评标委员会首先对所有</w:t>
      </w:r>
      <w:r>
        <w:rPr>
          <w:rFonts w:hint="eastAsia" w:ascii="微软雅黑" w:hAnsi="微软雅黑" w:eastAsia="微软雅黑" w:cs="Times New Roman"/>
          <w:color w:val="auto"/>
          <w:sz w:val="24"/>
          <w:szCs w:val="24"/>
          <w:highlight w:val="none"/>
        </w:rPr>
        <w:t>投标</w:t>
      </w:r>
      <w:r>
        <w:rPr>
          <w:rFonts w:hint="eastAsia" w:ascii="微软雅黑" w:hAnsi="微软雅黑" w:eastAsia="微软雅黑"/>
          <w:color w:val="auto"/>
          <w:sz w:val="24"/>
          <w:szCs w:val="24"/>
          <w:highlight w:val="none"/>
        </w:rPr>
        <w:t>文件进行形式、资格、技术及商务符合性评审。</w:t>
      </w:r>
      <w:r>
        <w:rPr>
          <w:rFonts w:hint="eastAsia" w:ascii="微软雅黑" w:hAnsi="微软雅黑" w:eastAsia="微软雅黑"/>
          <w:b/>
          <w:bCs/>
          <w:color w:val="auto"/>
          <w:sz w:val="24"/>
          <w:szCs w:val="24"/>
          <w:highlight w:val="none"/>
        </w:rPr>
        <w:t>‌技术及商务评审须完全响应招标文件第二章“服务内容”及本章节相关要求，否则作否决投标处理。</w:t>
      </w:r>
      <w:r>
        <w:rPr>
          <w:rFonts w:hint="eastAsia" w:ascii="微软雅黑" w:hAnsi="微软雅黑" w:eastAsia="微软雅黑"/>
          <w:color w:val="auto"/>
          <w:sz w:val="24"/>
          <w:szCs w:val="24"/>
          <w:highlight w:val="none"/>
        </w:rPr>
        <w:t>‌</w:t>
      </w:r>
    </w:p>
    <w:p w14:paraId="2AB50711">
      <w:pPr>
        <w:pStyle w:val="19"/>
        <w:spacing w:after="0" w:line="480" w:lineRule="exact"/>
        <w:rPr>
          <w:rFonts w:hint="eastAsia" w:ascii="微软雅黑" w:hAnsi="微软雅黑" w:eastAsia="微软雅黑" w:cs="微软雅黑"/>
          <w:color w:val="auto"/>
          <w:sz w:val="24"/>
          <w:szCs w:val="24"/>
          <w:highlight w:val="none"/>
        </w:rPr>
      </w:pPr>
      <w:r>
        <w:rPr>
          <w:rFonts w:hint="eastAsia" w:ascii="微软雅黑" w:hAnsi="微软雅黑" w:eastAsia="微软雅黑" w:cs="Times New Roman"/>
          <w:bCs/>
          <w:color w:val="auto"/>
          <w:sz w:val="24"/>
          <w:szCs w:val="24"/>
          <w:highlight w:val="none"/>
        </w:rPr>
        <w:t>评分说明：</w:t>
      </w:r>
      <w:r>
        <w:rPr>
          <w:rFonts w:hint="eastAsia" w:ascii="微软雅黑" w:hAnsi="微软雅黑" w:eastAsia="微软雅黑"/>
          <w:color w:val="auto"/>
          <w:sz w:val="24"/>
          <w:szCs w:val="24"/>
          <w:highlight w:val="none"/>
        </w:rPr>
        <w:t>通过符合性评审的投标文件，将依据以下“投标报价评审标准”进行价格调减，计算出“评标价”。</w:t>
      </w:r>
      <w:r>
        <w:rPr>
          <w:rFonts w:hint="eastAsia" w:ascii="微软雅黑" w:hAnsi="微软雅黑" w:eastAsia="微软雅黑"/>
          <w:b/>
          <w:bCs/>
          <w:color w:val="auto"/>
          <w:sz w:val="24"/>
          <w:szCs w:val="24"/>
          <w:highlight w:val="none"/>
        </w:rPr>
        <w:t>‌评标委员会按“评标价”从低至高排序，推荐中标候选人。</w:t>
      </w:r>
    </w:p>
    <w:p w14:paraId="5E92986F">
      <w:pPr>
        <w:spacing w:line="480" w:lineRule="exact"/>
        <w:ind w:firstLine="540" w:firstLineChars="225"/>
        <w:rPr>
          <w:rFonts w:hint="eastAsia" w:ascii="微软雅黑" w:hAnsi="微软雅黑" w:eastAsia="微软雅黑" w:cs="Times New Roman"/>
          <w:bCs/>
          <w:color w:val="auto"/>
          <w:sz w:val="24"/>
          <w:szCs w:val="24"/>
          <w:highlight w:val="none"/>
        </w:rPr>
      </w:pPr>
      <w:r>
        <w:rPr>
          <w:rFonts w:hint="eastAsia" w:ascii="微软雅黑" w:hAnsi="微软雅黑" w:eastAsia="微软雅黑" w:cs="Times New Roman"/>
          <w:bCs/>
          <w:color w:val="auto"/>
          <w:sz w:val="24"/>
          <w:szCs w:val="24"/>
          <w:highlight w:val="none"/>
        </w:rPr>
        <w:t>若出现“评标价”相同的情况，则按原“投标报价”由低到高排序；若原报价仍相同，则由招标人现场抽签确定排序。</w:t>
      </w:r>
    </w:p>
    <w:p w14:paraId="79CFCEB9">
      <w:pPr>
        <w:spacing w:line="480" w:lineRule="exact"/>
        <w:ind w:firstLine="540" w:firstLineChars="225"/>
        <w:rPr>
          <w:rFonts w:hint="eastAsia" w:ascii="微软雅黑" w:hAnsi="微软雅黑" w:eastAsia="微软雅黑" w:cs="Times New Roman"/>
          <w:bCs/>
          <w:color w:val="auto"/>
          <w:sz w:val="24"/>
          <w:szCs w:val="24"/>
          <w:highlight w:val="none"/>
        </w:rPr>
      </w:pPr>
      <w:bookmarkStart w:id="139" w:name="_Toc99713436"/>
      <w:bookmarkStart w:id="140" w:name="_Toc99713324"/>
      <w:r>
        <w:rPr>
          <w:rFonts w:hint="eastAsia" w:ascii="微软雅黑" w:hAnsi="微软雅黑" w:eastAsia="微软雅黑" w:cs="Times New Roman"/>
          <w:bCs/>
          <w:color w:val="auto"/>
          <w:sz w:val="24"/>
          <w:szCs w:val="24"/>
          <w:highlight w:val="none"/>
        </w:rPr>
        <w:t>抽签的方式为：抽签以手工抽取序号球的方式进行，先由投标人代表按标书递交签到顺序抽取各投标人对应的序号球，再由招标人随机从所有按上款规定并列第一的中标候选人的对应序号球中抽取出一个，被抽中序号所对应的投标人即为第一中标候选人。</w:t>
      </w:r>
      <w:bookmarkEnd w:id="139"/>
      <w:bookmarkEnd w:id="140"/>
    </w:p>
    <w:p w14:paraId="6A0A3279">
      <w:pPr>
        <w:spacing w:line="480" w:lineRule="exact"/>
        <w:ind w:left="-5" w:leftChars="-89" w:hanging="182" w:hangingChars="76"/>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20.1.</w:t>
      </w:r>
      <w:r>
        <w:rPr>
          <w:rFonts w:hint="eastAsia" w:ascii="微软雅黑" w:hAnsi="微软雅黑" w:eastAsia="微软雅黑"/>
          <w:color w:val="auto"/>
          <w:sz w:val="24"/>
          <w:szCs w:val="24"/>
          <w:highlight w:val="none"/>
          <w:lang w:val="en-US" w:eastAsia="zh-CN"/>
        </w:rPr>
        <w:t>2</w:t>
      </w:r>
      <w:r>
        <w:rPr>
          <w:rFonts w:hint="eastAsia" w:ascii="微软雅黑" w:hAnsi="微软雅黑" w:eastAsia="微软雅黑"/>
          <w:color w:val="auto"/>
          <w:sz w:val="24"/>
          <w:szCs w:val="24"/>
          <w:highlight w:val="none"/>
        </w:rPr>
        <w:t>比选小组应当根据评审记录和评审结果编写评审报告，评审报告应当由比选小组全体人员签字认可。比选小组成员对评审报告有异议的，比选小组按照少数服从多数的原则推荐成交候选人，采购程序继续进行。对评审报告有异议的比选小组成员，应当在报告上签署不同意见并说明理由，由比选小组书面记录相关情况。比选小组成员拒绝在报告上签字又不书面说明其不同意见和理由的，视为同意评审报告。</w:t>
      </w:r>
    </w:p>
    <w:p w14:paraId="375A88E4">
      <w:pPr>
        <w:spacing w:line="480" w:lineRule="exact"/>
        <w:ind w:left="-4" w:leftChars="-89" w:hanging="183" w:hangingChars="76"/>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（1）初步评审-资格评审</w:t>
      </w:r>
    </w:p>
    <w:tbl>
      <w:tblPr>
        <w:tblStyle w:val="21"/>
        <w:tblpPr w:leftFromText="180" w:rightFromText="180" w:vertAnchor="text" w:horzAnchor="page" w:tblpX="1573" w:tblpY="4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7779"/>
      </w:tblGrid>
      <w:tr w14:paraId="1C102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Align w:val="top"/>
          </w:tcPr>
          <w:p w14:paraId="74509C95">
            <w:pPr>
              <w:spacing w:line="480" w:lineRule="exact"/>
              <w:jc w:val="center"/>
              <w:rPr>
                <w:rFonts w:hint="eastAsia" w:ascii="微软雅黑" w:hAnsi="微软雅黑" w:eastAsia="微软雅黑" w:cs="微软雅黑"/>
                <w:b/>
                <w:color w:val="auto"/>
                <w:sz w:val="24"/>
                <w:highlight w:val="none"/>
              </w:rPr>
            </w:pPr>
            <w:r>
              <w:rPr>
                <w:rFonts w:hint="eastAsia" w:ascii="微软雅黑" w:hAnsi="微软雅黑" w:eastAsia="微软雅黑" w:cs="微软雅黑"/>
                <w:b/>
                <w:color w:val="auto"/>
                <w:sz w:val="24"/>
                <w:highlight w:val="none"/>
              </w:rPr>
              <w:t>评审点</w:t>
            </w:r>
          </w:p>
        </w:tc>
        <w:tc>
          <w:tcPr>
            <w:tcW w:w="7779" w:type="dxa"/>
            <w:vAlign w:val="top"/>
          </w:tcPr>
          <w:p w14:paraId="26F78EA0">
            <w:pPr>
              <w:spacing w:line="480" w:lineRule="exact"/>
              <w:jc w:val="center"/>
              <w:rPr>
                <w:rFonts w:hint="eastAsia" w:ascii="微软雅黑" w:hAnsi="微软雅黑" w:eastAsia="微软雅黑" w:cs="微软雅黑"/>
                <w:b/>
                <w:color w:val="auto"/>
                <w:sz w:val="24"/>
                <w:highlight w:val="none"/>
              </w:rPr>
            </w:pPr>
            <w:r>
              <w:rPr>
                <w:rFonts w:hint="eastAsia" w:ascii="微软雅黑" w:hAnsi="微软雅黑" w:eastAsia="微软雅黑" w:cs="微软雅黑"/>
                <w:b/>
                <w:color w:val="auto"/>
                <w:sz w:val="24"/>
                <w:highlight w:val="none"/>
              </w:rPr>
              <w:t>评审内容</w:t>
            </w:r>
          </w:p>
        </w:tc>
      </w:tr>
      <w:tr w14:paraId="27F1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543" w:type="dxa"/>
            <w:tcBorders>
              <w:bottom w:val="single" w:color="auto" w:sz="4" w:space="0"/>
            </w:tcBorders>
            <w:vAlign w:val="center"/>
          </w:tcPr>
          <w:p w14:paraId="6FDECA08">
            <w:pPr>
              <w:spacing w:line="480" w:lineRule="exact"/>
              <w:jc w:val="center"/>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投标人</w:t>
            </w:r>
          </w:p>
          <w:p w14:paraId="0A1D2097">
            <w:pPr>
              <w:spacing w:line="480" w:lineRule="exact"/>
              <w:jc w:val="center"/>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资格条件</w:t>
            </w:r>
          </w:p>
          <w:p w14:paraId="53A474D4">
            <w:pPr>
              <w:spacing w:line="480" w:lineRule="exact"/>
              <w:jc w:val="center"/>
              <w:rPr>
                <w:rFonts w:hint="eastAsia" w:ascii="微软雅黑" w:hAnsi="微软雅黑" w:eastAsia="微软雅黑" w:cs="微软雅黑"/>
                <w:color w:val="auto"/>
                <w:sz w:val="24"/>
                <w:highlight w:val="none"/>
              </w:rPr>
            </w:pPr>
          </w:p>
        </w:tc>
        <w:tc>
          <w:tcPr>
            <w:tcW w:w="7779" w:type="dxa"/>
            <w:tcBorders>
              <w:bottom w:val="single" w:color="auto" w:sz="4" w:space="0"/>
            </w:tcBorders>
            <w:vAlign w:val="top"/>
          </w:tcPr>
          <w:p w14:paraId="19E5CD54">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1、具有独立承担民事责任的能力；</w:t>
            </w:r>
          </w:p>
          <w:p w14:paraId="49254065">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评审依据：营业执照或事业单位法人证书复印件加盖单位公章。</w:t>
            </w:r>
          </w:p>
          <w:p w14:paraId="25097D69">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2、具有良好的商业信誉和健全的财务会计制度；</w:t>
            </w:r>
          </w:p>
          <w:p w14:paraId="7455F16D">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评审依据：提供202</w:t>
            </w:r>
            <w:r>
              <w:rPr>
                <w:rFonts w:hint="eastAsia" w:cs="微软雅黑"/>
                <w:b/>
                <w:bCs/>
                <w:color w:val="auto"/>
                <w:highlight w:val="none"/>
                <w:lang w:val="en-US" w:eastAsia="zh-CN"/>
              </w:rPr>
              <w:t>3</w:t>
            </w:r>
            <w:r>
              <w:rPr>
                <w:rFonts w:hint="eastAsia" w:ascii="微软雅黑" w:hAnsi="微软雅黑" w:eastAsia="微软雅黑" w:cs="微软雅黑"/>
                <w:b/>
                <w:bCs/>
                <w:color w:val="auto"/>
                <w:highlight w:val="none"/>
              </w:rPr>
              <w:t>年度或202</w:t>
            </w:r>
            <w:r>
              <w:rPr>
                <w:rFonts w:hint="eastAsia" w:cs="微软雅黑"/>
                <w:b/>
                <w:bCs/>
                <w:color w:val="auto"/>
                <w:highlight w:val="none"/>
                <w:lang w:val="en-US" w:eastAsia="zh-CN"/>
              </w:rPr>
              <w:t>4</w:t>
            </w:r>
            <w:r>
              <w:rPr>
                <w:rFonts w:hint="eastAsia" w:ascii="微软雅黑" w:hAnsi="微软雅黑" w:eastAsia="微软雅黑" w:cs="微软雅黑"/>
                <w:b/>
                <w:bCs/>
                <w:color w:val="auto"/>
                <w:highlight w:val="none"/>
              </w:rPr>
              <w:t>年度财务审计报告复印件加盖单位公章或开标前三个月内基本开户行开具的资信证明复印件加盖单位公章。</w:t>
            </w:r>
          </w:p>
          <w:p w14:paraId="11A3E1AC">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3、有依法缴纳税收和社会保障资金的良好记录：</w:t>
            </w:r>
          </w:p>
          <w:p w14:paraId="231EF14B">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评审依据：提供开标前六个月（不含开标当月）任意一个月的税收及社保缴纳凭证复印件或网上查询打印件加盖单位公章。</w:t>
            </w:r>
          </w:p>
          <w:p w14:paraId="138DAB8A">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4、具备履行合同所必需的设备和专业技术能力；</w:t>
            </w:r>
          </w:p>
          <w:p w14:paraId="7157D6DE">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评审依据：投标文件中提供承诺函。</w:t>
            </w:r>
          </w:p>
          <w:p w14:paraId="0B52A572">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5、参加招标投标活动前三年内，在经营活动中没有重大违法记录；</w:t>
            </w:r>
          </w:p>
          <w:p w14:paraId="37EC0065">
            <w:pPr>
              <w:widowControl/>
              <w:snapToGrid w:val="0"/>
              <w:spacing w:line="360" w:lineRule="exact"/>
              <w:jc w:val="left"/>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评审依据：投标文件中提供声明函。</w:t>
            </w:r>
          </w:p>
          <w:p w14:paraId="46292CAF">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6、授权委托书及本人身份证（如法人到场提供身份证及法定代表人身份</w:t>
            </w:r>
          </w:p>
          <w:p w14:paraId="57BD764E">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证明书）；</w:t>
            </w:r>
          </w:p>
          <w:p w14:paraId="541A8EA9">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b/>
                <w:bCs/>
                <w:color w:val="auto"/>
                <w:highlight w:val="none"/>
              </w:rPr>
              <w:t>评审依据：详见投标文件格式中“2法定代表人资格证明书”、“3法定代表人授权委托书”</w:t>
            </w:r>
          </w:p>
          <w:p w14:paraId="71DE29EC">
            <w:pPr>
              <w:pStyle w:val="26"/>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7、通过“信用中国”网站-信用服务查询相关主体信用记录，被列入失信被执行人、政府采购严重违法失信行为记录名单（处罚期限尚未届满的）、重大税收违法失信主体的投标人和通过中国政府采购网查询相关主体信用记录，被列入政府采购严重违法失信行为记录名单（处罚期限尚未届满的）投标人，不得参与本项目的招标活动；</w:t>
            </w:r>
          </w:p>
          <w:p w14:paraId="7494475E">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评审依据：提供信用中国及中国政府采购网相关内容查询截图打印件加盖公章。</w:t>
            </w:r>
          </w:p>
          <w:p w14:paraId="1FE703ED">
            <w:pPr>
              <w:pStyle w:val="26"/>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注：以上材料需在投标文件中提供相应复印件加盖公章。</w:t>
            </w:r>
          </w:p>
        </w:tc>
      </w:tr>
    </w:tbl>
    <w:p w14:paraId="34C82442">
      <w:pPr>
        <w:spacing w:line="480" w:lineRule="exact"/>
        <w:ind w:left="-4" w:leftChars="-89" w:hanging="183" w:hangingChars="76"/>
        <w:rPr>
          <w:rFonts w:hint="eastAsia" w:ascii="宋体" w:hAnsi="宋体"/>
          <w:b/>
          <w:color w:val="auto"/>
          <w:sz w:val="24"/>
          <w:szCs w:val="24"/>
          <w:highlight w:val="none"/>
        </w:rPr>
      </w:pPr>
    </w:p>
    <w:p w14:paraId="5F2DDA03">
      <w:pPr>
        <w:spacing w:line="480" w:lineRule="exact"/>
        <w:ind w:left="-4" w:leftChars="-89" w:hanging="183" w:hangingChars="76"/>
        <w:rPr>
          <w:rFonts w:hint="eastAsia" w:ascii="宋体" w:hAnsi="宋体"/>
          <w:b/>
          <w:color w:val="auto"/>
          <w:sz w:val="24"/>
          <w:szCs w:val="24"/>
          <w:highlight w:val="none"/>
        </w:rPr>
      </w:pPr>
      <w:r>
        <w:rPr>
          <w:rFonts w:hint="eastAsia" w:ascii="宋体" w:hAnsi="宋体"/>
          <w:b/>
          <w:color w:val="auto"/>
          <w:sz w:val="24"/>
          <w:szCs w:val="24"/>
          <w:highlight w:val="none"/>
        </w:rPr>
        <w:t>（2）初步评审-符合性评审</w:t>
      </w:r>
    </w:p>
    <w:tbl>
      <w:tblPr>
        <w:tblStyle w:val="21"/>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7256"/>
      </w:tblGrid>
      <w:tr w14:paraId="617F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05C9E48C">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序号</w:t>
            </w:r>
          </w:p>
        </w:tc>
        <w:tc>
          <w:tcPr>
            <w:tcW w:w="7256" w:type="dxa"/>
            <w:vAlign w:val="center"/>
          </w:tcPr>
          <w:p w14:paraId="1E044CC7">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评审内容</w:t>
            </w:r>
          </w:p>
        </w:tc>
      </w:tr>
      <w:tr w14:paraId="78AF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7F615911">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1</w:t>
            </w:r>
          </w:p>
        </w:tc>
        <w:tc>
          <w:tcPr>
            <w:tcW w:w="7256" w:type="dxa"/>
            <w:vAlign w:val="center"/>
          </w:tcPr>
          <w:p w14:paraId="5092BA01">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投标人完全响应</w:t>
            </w:r>
            <w:r>
              <w:rPr>
                <w:rFonts w:hint="eastAsia" w:ascii="微软雅黑" w:hAnsi="微软雅黑" w:eastAsia="微软雅黑" w:cs="微软雅黑"/>
                <w:bCs/>
                <w:color w:val="auto"/>
                <w:sz w:val="24"/>
                <w:szCs w:val="24"/>
                <w:highlight w:val="none"/>
                <w:lang w:eastAsia="zh-CN"/>
              </w:rPr>
              <w:t>比选文件</w:t>
            </w:r>
            <w:r>
              <w:rPr>
                <w:rFonts w:hint="eastAsia" w:ascii="微软雅黑" w:hAnsi="微软雅黑" w:eastAsia="微软雅黑" w:cs="微软雅黑"/>
                <w:bCs/>
                <w:color w:val="auto"/>
                <w:sz w:val="24"/>
                <w:szCs w:val="24"/>
                <w:highlight w:val="none"/>
              </w:rPr>
              <w:t>基本内容</w:t>
            </w:r>
          </w:p>
        </w:tc>
      </w:tr>
      <w:tr w14:paraId="1CF5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42123325">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2</w:t>
            </w:r>
          </w:p>
        </w:tc>
        <w:tc>
          <w:tcPr>
            <w:tcW w:w="7256" w:type="dxa"/>
            <w:vAlign w:val="center"/>
          </w:tcPr>
          <w:p w14:paraId="736A17FE">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无法律、法规和</w:t>
            </w:r>
            <w:r>
              <w:rPr>
                <w:rFonts w:hint="eastAsia" w:ascii="微软雅黑" w:hAnsi="微软雅黑" w:eastAsia="微软雅黑" w:cs="微软雅黑"/>
                <w:bCs/>
                <w:color w:val="auto"/>
                <w:sz w:val="24"/>
                <w:szCs w:val="24"/>
                <w:highlight w:val="none"/>
                <w:lang w:eastAsia="zh-CN"/>
              </w:rPr>
              <w:t>比选文件</w:t>
            </w:r>
            <w:r>
              <w:rPr>
                <w:rFonts w:hint="eastAsia" w:ascii="微软雅黑" w:hAnsi="微软雅黑" w:eastAsia="微软雅黑" w:cs="微软雅黑"/>
                <w:bCs/>
                <w:color w:val="auto"/>
                <w:sz w:val="24"/>
                <w:szCs w:val="24"/>
                <w:highlight w:val="none"/>
              </w:rPr>
              <w:t>规定的其他无效情形</w:t>
            </w:r>
          </w:p>
        </w:tc>
      </w:tr>
      <w:tr w14:paraId="3F32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64ADE560">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3</w:t>
            </w:r>
          </w:p>
        </w:tc>
        <w:tc>
          <w:tcPr>
            <w:tcW w:w="7256" w:type="dxa"/>
            <w:vAlign w:val="center"/>
          </w:tcPr>
          <w:p w14:paraId="2A0125CD">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投标文件不含有招标人不能接受的附加条件</w:t>
            </w:r>
          </w:p>
        </w:tc>
      </w:tr>
      <w:tr w14:paraId="24D5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09D486AD">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4</w:t>
            </w:r>
          </w:p>
        </w:tc>
        <w:tc>
          <w:tcPr>
            <w:tcW w:w="7256" w:type="dxa"/>
            <w:vAlign w:val="center"/>
          </w:tcPr>
          <w:p w14:paraId="0D27717C">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投标</w:t>
            </w:r>
            <w:r>
              <w:rPr>
                <w:rFonts w:hint="eastAsia" w:ascii="微软雅黑" w:hAnsi="微软雅黑" w:eastAsia="微软雅黑" w:cs="微软雅黑"/>
                <w:bCs/>
                <w:color w:val="auto"/>
                <w:sz w:val="24"/>
                <w:szCs w:val="24"/>
                <w:highlight w:val="none"/>
                <w:lang w:val="en-US" w:eastAsia="zh-CN"/>
              </w:rPr>
              <w:t>报</w:t>
            </w:r>
            <w:r>
              <w:rPr>
                <w:rFonts w:hint="eastAsia" w:ascii="微软雅黑" w:hAnsi="微软雅黑" w:eastAsia="微软雅黑" w:cs="微软雅黑"/>
                <w:bCs/>
                <w:color w:val="auto"/>
                <w:sz w:val="24"/>
                <w:szCs w:val="24"/>
                <w:highlight w:val="none"/>
              </w:rPr>
              <w:t>价不</w:t>
            </w:r>
            <w:r>
              <w:rPr>
                <w:rFonts w:hint="eastAsia" w:ascii="微软雅黑" w:hAnsi="微软雅黑" w:eastAsia="微软雅黑" w:cs="微软雅黑"/>
                <w:bCs/>
                <w:color w:val="auto"/>
                <w:sz w:val="24"/>
                <w:szCs w:val="24"/>
                <w:highlight w:val="none"/>
                <w:lang w:val="en-US" w:eastAsia="zh-CN"/>
              </w:rPr>
              <w:t>高</w:t>
            </w:r>
            <w:r>
              <w:rPr>
                <w:rFonts w:hint="eastAsia" w:ascii="微软雅黑" w:hAnsi="微软雅黑" w:eastAsia="微软雅黑" w:cs="微软雅黑"/>
                <w:bCs/>
                <w:color w:val="auto"/>
                <w:sz w:val="24"/>
                <w:szCs w:val="24"/>
                <w:highlight w:val="none"/>
              </w:rPr>
              <w:t>于</w:t>
            </w:r>
            <w:r>
              <w:rPr>
                <w:rFonts w:hint="eastAsia" w:ascii="微软雅黑" w:hAnsi="微软雅黑" w:eastAsia="微软雅黑" w:cs="微软雅黑"/>
                <w:bCs/>
                <w:color w:val="auto"/>
                <w:sz w:val="24"/>
                <w:szCs w:val="24"/>
                <w:highlight w:val="none"/>
                <w:lang w:eastAsia="zh-CN"/>
              </w:rPr>
              <w:t>比选文件</w:t>
            </w:r>
            <w:r>
              <w:rPr>
                <w:rFonts w:hint="eastAsia" w:ascii="微软雅黑" w:hAnsi="微软雅黑" w:eastAsia="微软雅黑" w:cs="微软雅黑"/>
                <w:bCs/>
                <w:color w:val="auto"/>
                <w:sz w:val="24"/>
                <w:szCs w:val="24"/>
                <w:highlight w:val="none"/>
              </w:rPr>
              <w:t>中规定的招标限价</w:t>
            </w:r>
          </w:p>
        </w:tc>
      </w:tr>
      <w:tr w14:paraId="0D716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7" w:type="dxa"/>
            <w:vAlign w:val="center"/>
          </w:tcPr>
          <w:p w14:paraId="5EE0339E">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5</w:t>
            </w:r>
          </w:p>
        </w:tc>
        <w:tc>
          <w:tcPr>
            <w:tcW w:w="7256" w:type="dxa"/>
            <w:vAlign w:val="center"/>
          </w:tcPr>
          <w:p w14:paraId="344F1532">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本项目不接受联合体投标</w:t>
            </w:r>
          </w:p>
        </w:tc>
      </w:tr>
    </w:tbl>
    <w:p w14:paraId="70E3AE2D">
      <w:pPr>
        <w:adjustRightInd w:val="0"/>
        <w:spacing w:line="480" w:lineRule="exact"/>
        <w:jc w:val="left"/>
        <w:rPr>
          <w:rFonts w:hint="eastAsia" w:ascii="宋体" w:hAnsi="宋体"/>
          <w:b/>
          <w:color w:val="auto"/>
          <w:sz w:val="24"/>
          <w:szCs w:val="24"/>
          <w:highlight w:val="none"/>
        </w:rPr>
      </w:pPr>
    </w:p>
    <w:p w14:paraId="3934F97D">
      <w:pPr>
        <w:adjustRightInd w:val="0"/>
        <w:spacing w:line="480" w:lineRule="exact"/>
        <w:jc w:val="left"/>
        <w:rPr>
          <w:rFonts w:hint="eastAsia" w:ascii="宋体" w:hAnsi="宋体"/>
          <w:b/>
          <w:color w:val="auto"/>
          <w:sz w:val="24"/>
          <w:szCs w:val="24"/>
          <w:highlight w:val="none"/>
        </w:rPr>
      </w:pPr>
      <w:r>
        <w:rPr>
          <w:rFonts w:hint="eastAsia" w:ascii="宋体" w:hAnsi="宋体"/>
          <w:b/>
          <w:color w:val="auto"/>
          <w:sz w:val="24"/>
          <w:szCs w:val="24"/>
          <w:highlight w:val="none"/>
        </w:rPr>
        <w:t>（3）详细评审-评分细则</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1883"/>
        <w:gridCol w:w="6852"/>
      </w:tblGrid>
      <w:tr w14:paraId="416F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5" w:type="dxa"/>
            <w:gridSpan w:val="2"/>
            <w:noWrap w:val="0"/>
            <w:vAlign w:val="top"/>
          </w:tcPr>
          <w:p w14:paraId="02744C0B">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评审因素</w:t>
            </w:r>
          </w:p>
        </w:tc>
        <w:tc>
          <w:tcPr>
            <w:tcW w:w="6852" w:type="dxa"/>
            <w:noWrap w:val="0"/>
            <w:vAlign w:val="top"/>
          </w:tcPr>
          <w:p w14:paraId="541D9DB7">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评审标准</w:t>
            </w:r>
          </w:p>
        </w:tc>
      </w:tr>
      <w:tr w14:paraId="3BC8A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0"/>
            <w:vAlign w:val="center"/>
          </w:tcPr>
          <w:p w14:paraId="3E241BA5">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1</w:t>
            </w:r>
          </w:p>
        </w:tc>
        <w:tc>
          <w:tcPr>
            <w:tcW w:w="1883" w:type="dxa"/>
            <w:noWrap w:val="0"/>
            <w:vAlign w:val="center"/>
          </w:tcPr>
          <w:p w14:paraId="5A96EB7C">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投标报价</w:t>
            </w:r>
          </w:p>
        </w:tc>
        <w:tc>
          <w:tcPr>
            <w:tcW w:w="6852" w:type="dxa"/>
            <w:noWrap w:val="0"/>
            <w:vAlign w:val="top"/>
          </w:tcPr>
          <w:p w14:paraId="32127184">
            <w:pPr>
              <w:pStyle w:val="19"/>
              <w:spacing w:after="0" w:line="480" w:lineRule="exact"/>
              <w:ind w:firstLine="0"/>
              <w:rPr>
                <w:rFonts w:hint="eastAsia" w:ascii="微软雅黑" w:hAnsi="微软雅黑" w:eastAsia="微软雅黑" w:cs="微软雅黑"/>
                <w:b w:val="0"/>
                <w:bCs w:val="0"/>
                <w:color w:val="auto"/>
                <w:sz w:val="24"/>
                <w:szCs w:val="24"/>
                <w:lang w:val="en-US" w:eastAsia="zh-CN"/>
              </w:rPr>
            </w:pPr>
            <w:r>
              <w:rPr>
                <w:rFonts w:hint="eastAsia" w:ascii="微软雅黑" w:hAnsi="微软雅黑" w:eastAsia="微软雅黑" w:cs="微软雅黑"/>
                <w:b w:val="0"/>
                <w:bCs w:val="0"/>
                <w:color w:val="auto"/>
                <w:sz w:val="24"/>
                <w:szCs w:val="24"/>
                <w:lang w:val="en-US" w:eastAsia="zh-CN"/>
              </w:rPr>
              <w:t>投标总报价不得超过招标文件载明的最高投标限价（招标控制价），投标单价不得超过</w:t>
            </w:r>
            <w:r>
              <w:rPr>
                <w:rFonts w:hint="eastAsia" w:ascii="微软雅黑" w:hAnsi="微软雅黑" w:eastAsia="微软雅黑" w:cs="微软雅黑"/>
                <w:color w:val="auto"/>
                <w:sz w:val="24"/>
                <w:szCs w:val="24"/>
                <w:lang w:val="en-US" w:eastAsia="zh-CN"/>
              </w:rPr>
              <w:t>相应子目的最高投标限价单价（招标控制价单价）</w:t>
            </w:r>
            <w:r>
              <w:rPr>
                <w:rFonts w:hint="eastAsia" w:ascii="微软雅黑" w:hAnsi="微软雅黑" w:eastAsia="微软雅黑" w:cs="微软雅黑"/>
                <w:b w:val="0"/>
                <w:bCs w:val="0"/>
                <w:color w:val="auto"/>
                <w:sz w:val="24"/>
                <w:szCs w:val="24"/>
                <w:lang w:val="en-US" w:eastAsia="zh-CN"/>
              </w:rPr>
              <w:t>否则作否决投标处理。</w:t>
            </w:r>
            <w:r>
              <w:rPr>
                <w:rFonts w:hint="eastAsia" w:ascii="微软雅黑" w:hAnsi="微软雅黑" w:eastAsia="微软雅黑" w:cs="微软雅黑"/>
                <w:bCs/>
                <w:color w:val="auto"/>
                <w:sz w:val="24"/>
                <w:szCs w:val="24"/>
                <w:lang w:val="en-US" w:eastAsia="zh-CN"/>
              </w:rPr>
              <w:t>投标总报价小于</w:t>
            </w:r>
            <w:r>
              <w:rPr>
                <w:rFonts w:hint="eastAsia" w:ascii="微软雅黑" w:hAnsi="微软雅黑" w:eastAsia="微软雅黑" w:cs="微软雅黑"/>
                <w:b w:val="0"/>
                <w:bCs w:val="0"/>
                <w:color w:val="auto"/>
                <w:sz w:val="24"/>
                <w:szCs w:val="24"/>
                <w:lang w:val="en-US" w:eastAsia="zh-CN"/>
              </w:rPr>
              <w:t>最高投标限价（</w:t>
            </w:r>
            <w:r>
              <w:rPr>
                <w:rFonts w:hint="eastAsia" w:ascii="微软雅黑" w:hAnsi="微软雅黑" w:eastAsia="微软雅黑" w:cs="微软雅黑"/>
                <w:bCs/>
                <w:color w:val="auto"/>
                <w:sz w:val="24"/>
                <w:szCs w:val="24"/>
                <w:lang w:val="en-US" w:eastAsia="zh-CN"/>
              </w:rPr>
              <w:t>招标控制价</w:t>
            </w:r>
            <w:r>
              <w:rPr>
                <w:rFonts w:hint="eastAsia" w:ascii="微软雅黑" w:hAnsi="微软雅黑" w:eastAsia="微软雅黑" w:cs="微软雅黑"/>
                <w:b w:val="0"/>
                <w:bCs w:val="0"/>
                <w:color w:val="auto"/>
                <w:sz w:val="24"/>
                <w:szCs w:val="24"/>
                <w:lang w:val="en-US" w:eastAsia="zh-CN"/>
              </w:rPr>
              <w:t>）</w:t>
            </w:r>
            <w:r>
              <w:rPr>
                <w:rFonts w:hint="eastAsia" w:ascii="微软雅黑" w:hAnsi="微软雅黑" w:eastAsia="微软雅黑" w:cs="微软雅黑"/>
                <w:bCs/>
                <w:color w:val="auto"/>
                <w:sz w:val="24"/>
                <w:szCs w:val="24"/>
                <w:lang w:val="en-US" w:eastAsia="zh-CN"/>
              </w:rPr>
              <w:t>的80%，将失去参与竞争中标候选人资格。</w:t>
            </w:r>
          </w:p>
          <w:p w14:paraId="2E0AF624">
            <w:pPr>
              <w:pStyle w:val="19"/>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lang w:val="en-US" w:eastAsia="zh-CN"/>
              </w:rPr>
              <w:t>评审依据：投标人提供的投标文件中投标报价。</w:t>
            </w:r>
          </w:p>
        </w:tc>
      </w:tr>
      <w:tr w14:paraId="46D50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3" w:hRule="atLeast"/>
        </w:trPr>
        <w:tc>
          <w:tcPr>
            <w:tcW w:w="552" w:type="dxa"/>
            <w:noWrap w:val="0"/>
            <w:vAlign w:val="center"/>
          </w:tcPr>
          <w:p w14:paraId="160B221B">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2</w:t>
            </w:r>
          </w:p>
        </w:tc>
        <w:tc>
          <w:tcPr>
            <w:tcW w:w="1883" w:type="dxa"/>
            <w:noWrap w:val="0"/>
            <w:vAlign w:val="center"/>
          </w:tcPr>
          <w:p w14:paraId="23557C4E">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业绩</w:t>
            </w:r>
          </w:p>
        </w:tc>
        <w:tc>
          <w:tcPr>
            <w:tcW w:w="6852" w:type="dxa"/>
            <w:noWrap w:val="0"/>
            <w:vAlign w:val="top"/>
          </w:tcPr>
          <w:p w14:paraId="79151FA1">
            <w:pPr>
              <w:pStyle w:val="19"/>
              <w:spacing w:after="0" w:line="480" w:lineRule="exact"/>
              <w:ind w:firstLine="0"/>
              <w:rPr>
                <w:rFonts w:hint="eastAsia" w:ascii="微软雅黑" w:hAnsi="微软雅黑" w:eastAsia="微软雅黑" w:cs="微软雅黑"/>
                <w:b w:val="0"/>
                <w:bCs w:val="0"/>
                <w:color w:val="auto"/>
                <w:sz w:val="24"/>
                <w:szCs w:val="24"/>
                <w:lang w:val="en-US" w:eastAsia="zh-CN"/>
              </w:rPr>
            </w:pPr>
            <w:r>
              <w:rPr>
                <w:rFonts w:hint="eastAsia" w:ascii="微软雅黑" w:hAnsi="微软雅黑" w:eastAsia="微软雅黑" w:cs="微软雅黑"/>
                <w:b w:val="0"/>
                <w:bCs w:val="0"/>
                <w:color w:val="auto"/>
                <w:sz w:val="24"/>
                <w:szCs w:val="24"/>
                <w:lang w:val="en-US" w:eastAsia="zh-CN"/>
              </w:rPr>
              <w:t>投标人自开标之日前（含开标之日）‌36个月‌内，每提供一份已完成验收的建筑能耗监测系统项目业绩，可在其投标报价基础上调减 ‌1.0%‌ ；‌本项累计最多调减‌： ‌5.0%‌。</w:t>
            </w:r>
          </w:p>
          <w:p w14:paraId="0F702C13">
            <w:pPr>
              <w:pStyle w:val="19"/>
              <w:spacing w:after="0" w:line="480" w:lineRule="exact"/>
              <w:ind w:firstLine="0"/>
              <w:rPr>
                <w:rFonts w:hint="eastAsia"/>
                <w:color w:val="auto"/>
              </w:rPr>
            </w:pPr>
            <w:r>
              <w:rPr>
                <w:rFonts w:hint="eastAsia" w:ascii="微软雅黑" w:hAnsi="微软雅黑" w:eastAsia="微软雅黑" w:cs="微软雅黑"/>
                <w:b/>
                <w:bCs/>
                <w:color w:val="auto"/>
                <w:sz w:val="24"/>
                <w:szCs w:val="24"/>
                <w:lang w:val="en-US" w:eastAsia="zh-CN"/>
              </w:rPr>
              <w:t>评审依据：提供合同关键页（含项目名称、合同金额、签字盖章页）及验收证明扫描件。</w:t>
            </w:r>
          </w:p>
        </w:tc>
      </w:tr>
      <w:tr w14:paraId="0723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dxa"/>
            <w:noWrap w:val="0"/>
            <w:vAlign w:val="center"/>
          </w:tcPr>
          <w:p w14:paraId="3EA2EA00">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3</w:t>
            </w:r>
          </w:p>
        </w:tc>
        <w:tc>
          <w:tcPr>
            <w:tcW w:w="1883" w:type="dxa"/>
            <w:noWrap w:val="0"/>
            <w:vAlign w:val="center"/>
          </w:tcPr>
          <w:p w14:paraId="3C49E59D">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质量保证期优化</w:t>
            </w:r>
          </w:p>
        </w:tc>
        <w:tc>
          <w:tcPr>
            <w:tcW w:w="6852" w:type="dxa"/>
            <w:noWrap w:val="0"/>
            <w:vAlign w:val="top"/>
          </w:tcPr>
          <w:p w14:paraId="61C3CE21">
            <w:pPr>
              <w:pStyle w:val="19"/>
              <w:spacing w:after="0" w:line="480" w:lineRule="exact"/>
              <w:ind w:firstLine="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 xml:space="preserve">投标人提供免费质量保证期承诺函，承诺免费质量保证期在满足招标文件12个月要求的基础上，每延长6个月，调减投标报价的1%，本项最多调减投标报价的2%。 </w:t>
            </w:r>
          </w:p>
          <w:p w14:paraId="52EEAFA7">
            <w:pPr>
              <w:pStyle w:val="19"/>
              <w:spacing w:after="0" w:line="480" w:lineRule="exact"/>
              <w:ind w:firstLine="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b/>
                <w:bCs/>
                <w:color w:val="auto"/>
                <w:sz w:val="24"/>
                <w:szCs w:val="24"/>
                <w:lang w:val="en-US" w:eastAsia="zh-CN"/>
              </w:rPr>
              <w:t>评审依据：提供承诺函</w:t>
            </w:r>
            <w:r>
              <w:rPr>
                <w:rFonts w:hint="eastAsia" w:ascii="微软雅黑" w:hAnsi="微软雅黑" w:eastAsia="微软雅黑" w:cs="微软雅黑"/>
                <w:b/>
                <w:bCs/>
                <w:color w:val="auto"/>
                <w:kern w:val="0"/>
                <w:sz w:val="24"/>
                <w:szCs w:val="24"/>
                <w:lang w:val="en-US" w:eastAsia="zh-CN"/>
              </w:rPr>
              <w:t>加盖公章</w:t>
            </w:r>
            <w:r>
              <w:rPr>
                <w:rFonts w:hint="eastAsia" w:ascii="微软雅黑" w:hAnsi="微软雅黑" w:eastAsia="微软雅黑" w:cs="微软雅黑"/>
                <w:b/>
                <w:bCs/>
                <w:color w:val="auto"/>
                <w:sz w:val="24"/>
                <w:szCs w:val="24"/>
                <w:lang w:val="en-US" w:eastAsia="zh-CN"/>
              </w:rPr>
              <w:t>。</w:t>
            </w:r>
          </w:p>
        </w:tc>
      </w:tr>
      <w:tr w14:paraId="42B1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552" w:type="dxa"/>
            <w:noWrap w:val="0"/>
            <w:vAlign w:val="center"/>
          </w:tcPr>
          <w:p w14:paraId="3115ECB6">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4</w:t>
            </w:r>
          </w:p>
        </w:tc>
        <w:tc>
          <w:tcPr>
            <w:tcW w:w="1883" w:type="dxa"/>
            <w:noWrap w:val="0"/>
            <w:vAlign w:val="center"/>
          </w:tcPr>
          <w:p w14:paraId="35050DE2">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实施周期优化</w:t>
            </w:r>
          </w:p>
        </w:tc>
        <w:tc>
          <w:tcPr>
            <w:tcW w:w="6852" w:type="dxa"/>
            <w:noWrap w:val="0"/>
            <w:vAlign w:val="top"/>
          </w:tcPr>
          <w:p w14:paraId="60E08CDA">
            <w:pPr>
              <w:pStyle w:val="19"/>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color w:val="auto"/>
                <w:sz w:val="24"/>
                <w:szCs w:val="24"/>
                <w:lang w:val="en-US" w:eastAsia="zh-CN"/>
              </w:rPr>
              <w:t>在满足招标文件要求的工期基础上，投标人承诺：每提前 ‌</w:t>
            </w:r>
            <w:r>
              <w:rPr>
                <w:rFonts w:hint="default" w:ascii="微软雅黑" w:hAnsi="微软雅黑" w:eastAsia="微软雅黑" w:cs="微软雅黑"/>
                <w:color w:val="auto"/>
                <w:sz w:val="24"/>
                <w:szCs w:val="24"/>
                <w:lang w:val="en-US" w:eastAsia="zh-CN"/>
              </w:rPr>
              <w:t>5个日历日‌完成全部服务内容（含系统上线、数据接入证明取得及专项验收），可在其投标报价基础上调减 ‌0.3%‌ 。</w:t>
            </w:r>
            <w:r>
              <w:rPr>
                <w:rFonts w:hint="default" w:ascii="微软雅黑" w:hAnsi="微软雅黑" w:eastAsia="微软雅黑" w:cs="微软雅黑"/>
                <w:color w:val="auto"/>
                <w:sz w:val="24"/>
                <w:szCs w:val="24"/>
                <w:lang w:val="en-US" w:eastAsia="zh-CN"/>
              </w:rPr>
              <w:br w:type="textWrapping"/>
            </w:r>
            <w:r>
              <w:rPr>
                <w:rFonts w:hint="default" w:ascii="微软雅黑" w:hAnsi="微软雅黑" w:eastAsia="微软雅黑" w:cs="微软雅黑"/>
                <w:color w:val="auto"/>
                <w:sz w:val="24"/>
                <w:szCs w:val="24"/>
                <w:lang w:val="en-US" w:eastAsia="zh-CN"/>
              </w:rPr>
              <w:t>‌本项累计最多调减‌： ‌1.5%‌。</w:t>
            </w:r>
            <w:r>
              <w:rPr>
                <w:rFonts w:hint="default" w:ascii="微软雅黑" w:hAnsi="微软雅黑" w:eastAsia="微软雅黑" w:cs="微软雅黑"/>
                <w:color w:val="auto"/>
                <w:sz w:val="24"/>
                <w:szCs w:val="24"/>
                <w:lang w:val="en-US" w:eastAsia="zh-CN"/>
              </w:rPr>
              <w:br w:type="textWrapping"/>
            </w:r>
            <w:r>
              <w:rPr>
                <w:rFonts w:hint="default" w:ascii="微软雅黑" w:hAnsi="微软雅黑" w:eastAsia="微软雅黑" w:cs="微软雅黑"/>
                <w:b/>
                <w:bCs/>
                <w:color w:val="auto"/>
                <w:sz w:val="24"/>
                <w:szCs w:val="24"/>
                <w:lang w:val="en-US" w:eastAsia="zh-CN"/>
              </w:rPr>
              <w:t>评审依据：提供加盖投标人公章的专项承诺函及详细实施计划</w:t>
            </w:r>
            <w:r>
              <w:rPr>
                <w:rFonts w:hint="eastAsia" w:ascii="微软雅黑" w:hAnsi="微软雅黑" w:eastAsia="微软雅黑" w:cs="微软雅黑"/>
                <w:b/>
                <w:bCs/>
                <w:color w:val="auto"/>
                <w:sz w:val="24"/>
                <w:szCs w:val="24"/>
                <w:lang w:val="en-US" w:eastAsia="zh-CN"/>
              </w:rPr>
              <w:t>。</w:t>
            </w:r>
          </w:p>
        </w:tc>
      </w:tr>
      <w:tr w14:paraId="02ED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52" w:type="dxa"/>
            <w:noWrap w:val="0"/>
            <w:vAlign w:val="center"/>
          </w:tcPr>
          <w:p w14:paraId="3B8131F2">
            <w:pPr>
              <w:pStyle w:val="19"/>
              <w:spacing w:after="0" w:line="480" w:lineRule="exact"/>
              <w:ind w:firstLine="0"/>
              <w:jc w:val="center"/>
              <w:rPr>
                <w:rFonts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5</w:t>
            </w:r>
          </w:p>
        </w:tc>
        <w:tc>
          <w:tcPr>
            <w:tcW w:w="1883" w:type="dxa"/>
            <w:noWrap w:val="0"/>
            <w:vAlign w:val="center"/>
          </w:tcPr>
          <w:p w14:paraId="467119C3">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‌系统平台功能与认证</w:t>
            </w:r>
          </w:p>
        </w:tc>
        <w:tc>
          <w:tcPr>
            <w:tcW w:w="6852" w:type="dxa"/>
            <w:noWrap w:val="0"/>
            <w:vAlign w:val="top"/>
          </w:tcPr>
          <w:p w14:paraId="2336A9CA">
            <w:pPr>
              <w:pStyle w:val="19"/>
              <w:spacing w:after="0" w:line="480" w:lineRule="exact"/>
              <w:ind w:firstLine="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 ‌数据对接能力‌：投标人承诺其系统平台已具备与项目所在地市级/省级‌政府能耗监测平台‌的标准数据接口，并承诺承担所有对接调试工作，可调减投标报价 ‌1.0%‌。</w:t>
            </w:r>
          </w:p>
          <w:p w14:paraId="542E7DE8">
            <w:pPr>
              <w:pStyle w:val="19"/>
              <w:spacing w:after="0" w:line="480" w:lineRule="exact"/>
              <w:ind w:firstLine="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 ‌软件著作权‌：投标人所投能耗监测系统‌电脑终端及手机APP软件‌，具有投标人自身名下的有效计算机软件著作权登记证书，可调减投标报价 ‌0.5%‌。</w:t>
            </w:r>
          </w:p>
          <w:p w14:paraId="2F8862E3">
            <w:pPr>
              <w:pStyle w:val="19"/>
              <w:spacing w:after="0" w:line="480" w:lineRule="exact"/>
              <w:ind w:firstLine="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‌本项累计最多调减‌： ‌1.5%‌。</w:t>
            </w:r>
          </w:p>
          <w:p w14:paraId="3DB23F8F">
            <w:pPr>
              <w:pStyle w:val="19"/>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rPr>
              <w:t>评审依据：提供数据接口承诺函及软件著作权证书扫描件</w:t>
            </w:r>
            <w:r>
              <w:rPr>
                <w:rFonts w:hint="eastAsia" w:ascii="微软雅黑" w:hAnsi="微软雅黑" w:eastAsia="微软雅黑" w:cs="微软雅黑"/>
                <w:b/>
                <w:bCs/>
                <w:color w:val="auto"/>
                <w:kern w:val="0"/>
                <w:sz w:val="24"/>
                <w:szCs w:val="24"/>
                <w:lang w:val="en-US" w:eastAsia="zh-CN"/>
              </w:rPr>
              <w:t>。</w:t>
            </w:r>
          </w:p>
        </w:tc>
      </w:tr>
      <w:tr w14:paraId="784E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552" w:type="dxa"/>
            <w:noWrap w:val="0"/>
            <w:vAlign w:val="center"/>
          </w:tcPr>
          <w:p w14:paraId="3A3FD024">
            <w:pPr>
              <w:pStyle w:val="19"/>
              <w:spacing w:after="0" w:line="480" w:lineRule="exact"/>
              <w:ind w:firstLine="0"/>
              <w:jc w:val="center"/>
              <w:rPr>
                <w:rFonts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6</w:t>
            </w:r>
          </w:p>
        </w:tc>
        <w:tc>
          <w:tcPr>
            <w:tcW w:w="1883" w:type="dxa"/>
            <w:noWrap w:val="0"/>
            <w:vAlign w:val="center"/>
          </w:tcPr>
          <w:p w14:paraId="2F8679A6">
            <w:pPr>
              <w:pStyle w:val="19"/>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售后服务承诺</w:t>
            </w:r>
          </w:p>
        </w:tc>
        <w:tc>
          <w:tcPr>
            <w:tcW w:w="6852" w:type="dxa"/>
            <w:noWrap w:val="0"/>
            <w:vAlign w:val="top"/>
          </w:tcPr>
          <w:p w14:paraId="72A504B6">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投标人承诺提供以下服务标准的，可获相应调减：</w:t>
            </w:r>
          </w:p>
          <w:p w14:paraId="502BDFF4">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‌基准承诺‌：提供7×24小时电话支持，远程响应≤4小时，关键故障现场响应≤12小时。‌此为必须满足项，不调减‌。</w:t>
            </w:r>
          </w:p>
          <w:p w14:paraId="0A136560">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‌优化承诺一‌：承诺关键故障现场响应≤8小时，并提供2小时内远程应急方案。可在投标报价基础上调减 ‌0.5%‌。</w:t>
            </w:r>
          </w:p>
          <w:p w14:paraId="11675FF0">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‌优化承诺二‌：在“优化承诺一”基础上，再承诺提供本项目硬件备品备件库或12小时内提供备件。可在投标报价基础上再调减 ‌0.5%‌。</w:t>
            </w:r>
          </w:p>
          <w:p w14:paraId="4755C3F6">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‌本项累计最多调减‌： ‌1.0%‌。</w:t>
            </w:r>
          </w:p>
          <w:p w14:paraId="740C9348">
            <w:pPr>
              <w:pStyle w:val="19"/>
              <w:spacing w:after="0" w:line="480" w:lineRule="exact"/>
              <w:ind w:firstLine="0"/>
              <w:rPr>
                <w:rFonts w:hint="eastAsia" w:ascii="微软雅黑" w:hAnsi="微软雅黑" w:eastAsia="微软雅黑" w:cs="微软雅黑"/>
                <w:b/>
                <w:bCs/>
                <w:color w:val="auto"/>
                <w:kern w:val="0"/>
                <w:sz w:val="24"/>
                <w:szCs w:val="24"/>
                <w:lang w:val="en-US" w:eastAsia="zh-CN"/>
              </w:rPr>
            </w:pPr>
            <w:r>
              <w:rPr>
                <w:rFonts w:hint="eastAsia" w:ascii="微软雅黑" w:hAnsi="微软雅黑" w:eastAsia="微软雅黑" w:cs="微软雅黑"/>
                <w:b/>
                <w:bCs/>
                <w:color w:val="auto"/>
                <w:kern w:val="0"/>
                <w:sz w:val="24"/>
                <w:szCs w:val="24"/>
                <w:lang w:val="en-US" w:eastAsia="zh-CN"/>
              </w:rPr>
              <w:t>评审依据：提供加盖投标人公章的专项售后服务承诺函。</w:t>
            </w:r>
          </w:p>
        </w:tc>
      </w:tr>
      <w:tr w14:paraId="23781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552" w:type="dxa"/>
            <w:noWrap w:val="0"/>
            <w:vAlign w:val="center"/>
          </w:tcPr>
          <w:p w14:paraId="05D569A7">
            <w:pPr>
              <w:pStyle w:val="19"/>
              <w:spacing w:after="0" w:line="480" w:lineRule="exact"/>
              <w:ind w:firstLine="0" w:firstLineChars="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w:t>
            </w:r>
            <w:r>
              <w:rPr>
                <w:rFonts w:hint="default" w:ascii="微软雅黑" w:hAnsi="微软雅黑" w:eastAsia="微软雅黑" w:cs="微软雅黑"/>
                <w:color w:val="auto"/>
                <w:sz w:val="24"/>
                <w:szCs w:val="24"/>
                <w:lang w:val="en-US" w:eastAsia="zh-CN"/>
              </w:rPr>
              <w:t>备注</w:t>
            </w:r>
          </w:p>
        </w:tc>
        <w:tc>
          <w:tcPr>
            <w:tcW w:w="8735" w:type="dxa"/>
            <w:gridSpan w:val="2"/>
            <w:noWrap w:val="0"/>
            <w:vAlign w:val="center"/>
          </w:tcPr>
          <w:p w14:paraId="664E64CD">
            <w:pPr>
              <w:pStyle w:val="19"/>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评标价计算:评标价 = 投标报价 × (1 - 第2至第6项累计调减百分比之和)‌</w:t>
            </w:r>
          </w:p>
          <w:p w14:paraId="58B42BA8">
            <w:pPr>
              <w:pStyle w:val="19"/>
              <w:spacing w:after="0" w:line="480" w:lineRule="exact"/>
              <w:ind w:firstLine="0" w:firstLineChars="0"/>
              <w:rPr>
                <w:rFonts w:hint="eastAsia" w:ascii="微软雅黑" w:hAnsi="微软雅黑" w:eastAsia="微软雅黑" w:cs="微软雅黑"/>
                <w:b/>
                <w:bCs/>
                <w:color w:val="auto"/>
                <w:kern w:val="0"/>
                <w:sz w:val="24"/>
                <w:szCs w:val="24"/>
                <w:lang w:val="en-US" w:eastAsia="zh-CN"/>
              </w:rPr>
            </w:pPr>
            <w:r>
              <w:rPr>
                <w:rFonts w:hint="eastAsia" w:ascii="微软雅黑" w:hAnsi="微软雅黑" w:eastAsia="微软雅黑" w:cs="微软雅黑"/>
                <w:b/>
                <w:bCs/>
                <w:color w:val="auto"/>
                <w:kern w:val="0"/>
                <w:sz w:val="24"/>
                <w:szCs w:val="24"/>
                <w:lang w:val="en-US" w:eastAsia="zh-CN"/>
              </w:rPr>
              <w:t>‌示例‌：</w:t>
            </w:r>
            <w:r>
              <w:rPr>
                <w:rFonts w:hint="eastAsia" w:ascii="微软雅黑" w:hAnsi="微软雅黑" w:eastAsia="微软雅黑" w:cs="微软雅黑"/>
                <w:b w:val="0"/>
                <w:bCs w:val="0"/>
                <w:color w:val="auto"/>
                <w:kern w:val="0"/>
                <w:sz w:val="24"/>
                <w:szCs w:val="24"/>
                <w:lang w:val="en-US" w:eastAsia="zh-CN"/>
              </w:rPr>
              <w:t>某投标人报价100万元，符合第2项（调减3%）、第3项（调减1%）、第6项（调减0.5%），则其评标价 = 100万 × (1 - 4.5%) = 95.5万元。</w:t>
            </w:r>
          </w:p>
        </w:tc>
      </w:tr>
    </w:tbl>
    <w:p w14:paraId="76FFE7BB">
      <w:pPr>
        <w:widowControl/>
        <w:spacing w:line="440" w:lineRule="exact"/>
        <w:ind w:firstLine="480" w:firstLineChars="200"/>
        <w:jc w:val="left"/>
        <w:rPr>
          <w:rFonts w:ascii="微软雅黑" w:hAnsi="微软雅黑" w:eastAsia="微软雅黑"/>
          <w:b/>
          <w:bCs/>
          <w:color w:val="auto"/>
          <w:sz w:val="24"/>
          <w:highlight w:val="none"/>
        </w:rPr>
      </w:pPr>
      <w:r>
        <w:rPr>
          <w:rFonts w:hint="eastAsia" w:ascii="微软雅黑" w:hAnsi="微软雅黑" w:eastAsia="微软雅黑"/>
          <w:b/>
          <w:bCs/>
          <w:color w:val="auto"/>
          <w:sz w:val="24"/>
          <w:highlight w:val="none"/>
        </w:rPr>
        <w:t>20.2 比选纪律</w:t>
      </w:r>
    </w:p>
    <w:p w14:paraId="50FEFEFA">
      <w:pPr>
        <w:pStyle w:val="12"/>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20.2.1在比选</w:t>
      </w:r>
      <w:r>
        <w:rPr>
          <w:rFonts w:ascii="微软雅黑" w:hAnsi="微软雅黑" w:eastAsia="微软雅黑"/>
          <w:color w:val="auto"/>
          <w:sz w:val="24"/>
          <w:szCs w:val="24"/>
          <w:highlight w:val="none"/>
        </w:rPr>
        <w:t>过程中，供应商对</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、采购人或比选小组成员施加影响的任何行为，一经发现都将导致取消其</w:t>
      </w:r>
      <w:r>
        <w:rPr>
          <w:rFonts w:hint="eastAsia" w:ascii="微软雅黑" w:hAnsi="微软雅黑" w:eastAsia="微软雅黑"/>
          <w:color w:val="auto"/>
          <w:sz w:val="24"/>
          <w:szCs w:val="24"/>
          <w:highlight w:val="none"/>
        </w:rPr>
        <w:t>比选</w:t>
      </w:r>
      <w:r>
        <w:rPr>
          <w:rFonts w:ascii="微软雅黑" w:hAnsi="微软雅黑" w:eastAsia="微软雅黑"/>
          <w:color w:val="auto"/>
          <w:sz w:val="24"/>
          <w:szCs w:val="24"/>
          <w:highlight w:val="none"/>
        </w:rPr>
        <w:t>响应资格。</w:t>
      </w:r>
    </w:p>
    <w:p w14:paraId="3D96FFBA">
      <w:pPr>
        <w:pStyle w:val="12"/>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20.2.2</w:t>
      </w:r>
      <w:r>
        <w:rPr>
          <w:rFonts w:ascii="微软雅黑" w:hAnsi="微软雅黑" w:eastAsia="微软雅黑"/>
          <w:color w:val="auto"/>
          <w:sz w:val="24"/>
          <w:szCs w:val="24"/>
          <w:highlight w:val="none"/>
        </w:rPr>
        <w:t>比选小组成员和有关工作人员应当遵守</w:t>
      </w:r>
      <w:r>
        <w:rPr>
          <w:rFonts w:hint="eastAsia" w:ascii="微软雅黑" w:hAnsi="微软雅黑" w:eastAsia="微软雅黑"/>
          <w:color w:val="auto"/>
          <w:sz w:val="24"/>
          <w:szCs w:val="24"/>
          <w:highlight w:val="none"/>
        </w:rPr>
        <w:t>比选</w:t>
      </w:r>
      <w:r>
        <w:rPr>
          <w:rFonts w:ascii="微软雅黑" w:hAnsi="微软雅黑" w:eastAsia="微软雅黑"/>
          <w:color w:val="auto"/>
          <w:sz w:val="24"/>
          <w:szCs w:val="24"/>
          <w:highlight w:val="none"/>
        </w:rPr>
        <w:t>工作纪律</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rPr>
        <w:t>不得透露响应文件的评审、比较和成交候选人的推荐情况以及与比选有关的其他情况。</w:t>
      </w:r>
    </w:p>
    <w:p w14:paraId="0F1F10F3">
      <w:pPr>
        <w:pStyle w:val="4"/>
        <w:numPr>
          <w:ilvl w:val="0"/>
          <w:numId w:val="4"/>
        </w:numPr>
        <w:spacing w:line="480" w:lineRule="exact"/>
        <w:rPr>
          <w:rFonts w:ascii="微软雅黑" w:hAnsi="微软雅黑" w:eastAsia="微软雅黑"/>
          <w:color w:val="auto"/>
          <w:sz w:val="36"/>
          <w:szCs w:val="36"/>
          <w:highlight w:val="none"/>
        </w:rPr>
      </w:pPr>
      <w:bookmarkStart w:id="141" w:name="_Toc147282129"/>
      <w:bookmarkStart w:id="142" w:name="_Toc19481"/>
      <w:bookmarkStart w:id="143" w:name="_Toc8376313"/>
      <w:bookmarkStart w:id="144" w:name="_Toc516969091"/>
      <w:r>
        <w:rPr>
          <w:rFonts w:hint="eastAsia" w:ascii="微软雅黑" w:hAnsi="微软雅黑" w:eastAsia="微软雅黑"/>
          <w:color w:val="auto"/>
          <w:sz w:val="36"/>
          <w:szCs w:val="36"/>
          <w:highlight w:val="none"/>
        </w:rPr>
        <w:t>授予合同</w:t>
      </w:r>
      <w:bookmarkEnd w:id="141"/>
      <w:bookmarkEnd w:id="142"/>
      <w:bookmarkEnd w:id="143"/>
      <w:bookmarkEnd w:id="144"/>
    </w:p>
    <w:p w14:paraId="4091DB42">
      <w:pPr>
        <w:pStyle w:val="4"/>
        <w:spacing w:line="480" w:lineRule="exact"/>
        <w:jc w:val="both"/>
        <w:rPr>
          <w:rFonts w:ascii="微软雅黑" w:hAnsi="微软雅黑" w:eastAsia="微软雅黑"/>
          <w:color w:val="auto"/>
          <w:sz w:val="28"/>
          <w:szCs w:val="28"/>
          <w:highlight w:val="none"/>
        </w:rPr>
      </w:pPr>
      <w:bookmarkStart w:id="145" w:name="_Toc13218"/>
      <w:bookmarkStart w:id="146" w:name="_Toc8376314"/>
      <w:r>
        <w:rPr>
          <w:rFonts w:hint="eastAsia" w:ascii="微软雅黑" w:hAnsi="微软雅黑" w:eastAsia="微软雅黑"/>
          <w:color w:val="auto"/>
          <w:sz w:val="28"/>
          <w:szCs w:val="28"/>
          <w:highlight w:val="none"/>
        </w:rPr>
        <w:t>2</w:t>
      </w:r>
      <w:r>
        <w:rPr>
          <w:rFonts w:ascii="微软雅黑" w:hAnsi="微软雅黑" w:eastAsia="微软雅黑"/>
          <w:color w:val="auto"/>
          <w:sz w:val="28"/>
          <w:szCs w:val="28"/>
          <w:highlight w:val="none"/>
        </w:rPr>
        <w:t>1</w:t>
      </w:r>
      <w:r>
        <w:rPr>
          <w:rFonts w:hint="eastAsia" w:ascii="微软雅黑" w:hAnsi="微软雅黑" w:eastAsia="微软雅黑"/>
          <w:color w:val="auto"/>
          <w:sz w:val="28"/>
          <w:szCs w:val="28"/>
          <w:highlight w:val="none"/>
        </w:rPr>
        <w:t>、确定成交供应商</w:t>
      </w:r>
      <w:bookmarkEnd w:id="145"/>
      <w:bookmarkEnd w:id="146"/>
    </w:p>
    <w:p w14:paraId="0AAD36EF">
      <w:pPr>
        <w:pStyle w:val="12"/>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21.1</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在</w:t>
      </w:r>
      <w:r>
        <w:rPr>
          <w:rFonts w:hint="eastAsia" w:ascii="微软雅黑" w:hAnsi="微软雅黑" w:eastAsia="微软雅黑"/>
          <w:color w:val="auto"/>
          <w:sz w:val="24"/>
          <w:szCs w:val="24"/>
          <w:highlight w:val="none"/>
        </w:rPr>
        <w:t>评审</w:t>
      </w:r>
      <w:r>
        <w:rPr>
          <w:rFonts w:ascii="微软雅黑" w:hAnsi="微软雅黑" w:eastAsia="微软雅黑"/>
          <w:color w:val="auto"/>
          <w:sz w:val="24"/>
          <w:szCs w:val="24"/>
          <w:highlight w:val="none"/>
        </w:rPr>
        <w:t>结束后</w:t>
      </w:r>
      <w:r>
        <w:rPr>
          <w:rFonts w:hint="eastAsia" w:ascii="微软雅黑" w:hAnsi="微软雅黑" w:eastAsia="微软雅黑"/>
          <w:color w:val="auto"/>
          <w:sz w:val="24"/>
          <w:szCs w:val="24"/>
          <w:highlight w:val="none"/>
        </w:rPr>
        <w:t>2</w:t>
      </w:r>
      <w:r>
        <w:rPr>
          <w:rFonts w:ascii="微软雅黑" w:hAnsi="微软雅黑" w:eastAsia="微软雅黑"/>
          <w:color w:val="auto"/>
          <w:sz w:val="24"/>
          <w:szCs w:val="24"/>
          <w:highlight w:val="none"/>
        </w:rPr>
        <w:t>个工作日内将评审报告送采购人</w:t>
      </w:r>
      <w:r>
        <w:rPr>
          <w:rFonts w:hint="eastAsia" w:ascii="微软雅黑" w:hAnsi="微软雅黑" w:eastAsia="微软雅黑"/>
          <w:color w:val="auto"/>
          <w:sz w:val="24"/>
          <w:szCs w:val="24"/>
          <w:highlight w:val="none"/>
        </w:rPr>
        <w:t>确认，采购人应当在收到评审报告后5个工作日内，从评审报告提出的成交候选人中，根据质量和服务均能满足比选文件实质性响应要求且</w:t>
      </w:r>
      <w:r>
        <w:rPr>
          <w:rFonts w:hint="eastAsia" w:ascii="微软雅黑" w:hAnsi="微软雅黑" w:eastAsia="微软雅黑"/>
          <w:color w:val="auto"/>
          <w:sz w:val="24"/>
          <w:szCs w:val="24"/>
          <w:highlight w:val="none"/>
          <w:lang w:val="en-US" w:eastAsia="zh-CN"/>
        </w:rPr>
        <w:t>综合得分排序从高到低</w:t>
      </w:r>
      <w:r>
        <w:rPr>
          <w:rFonts w:hint="eastAsia" w:ascii="微软雅黑" w:hAnsi="微软雅黑" w:eastAsia="微软雅黑"/>
          <w:color w:val="auto"/>
          <w:sz w:val="24"/>
          <w:szCs w:val="24"/>
          <w:highlight w:val="none"/>
        </w:rPr>
        <w:t>的原则确定成交供应商，也可以书面授权比选小组直接确定成交供应商。采购人逾期未确定成交供应商且不提出异议的，视为确定评审报告提出的最后</w:t>
      </w:r>
      <w:r>
        <w:rPr>
          <w:rFonts w:hint="eastAsia" w:ascii="微软雅黑" w:hAnsi="微软雅黑" w:eastAsia="微软雅黑"/>
          <w:color w:val="auto"/>
          <w:sz w:val="24"/>
          <w:szCs w:val="24"/>
          <w:highlight w:val="none"/>
          <w:lang w:val="en-US" w:eastAsia="zh-CN"/>
        </w:rPr>
        <w:t>得分</w:t>
      </w:r>
      <w:r>
        <w:rPr>
          <w:rFonts w:hint="eastAsia" w:ascii="微软雅黑" w:hAnsi="微软雅黑" w:eastAsia="微软雅黑"/>
          <w:color w:val="auto"/>
          <w:sz w:val="24"/>
          <w:szCs w:val="24"/>
          <w:highlight w:val="none"/>
        </w:rPr>
        <w:t>最高的供应商为成交供应商。</w:t>
      </w:r>
    </w:p>
    <w:p w14:paraId="65AD91B7">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w:t>
      </w: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.2</w:t>
      </w:r>
      <w:r>
        <w:rPr>
          <w:rFonts w:ascii="微软雅黑" w:hAnsi="微软雅黑" w:eastAsia="微软雅黑"/>
          <w:color w:val="auto"/>
          <w:sz w:val="24"/>
          <w:szCs w:val="24"/>
          <w:highlight w:val="none"/>
        </w:rPr>
        <w:t>采购人对所有</w:t>
      </w:r>
      <w:r>
        <w:rPr>
          <w:rFonts w:hint="eastAsia" w:ascii="微软雅黑" w:hAnsi="微软雅黑" w:eastAsia="微软雅黑"/>
          <w:color w:val="auto"/>
          <w:sz w:val="24"/>
          <w:szCs w:val="24"/>
          <w:highlight w:val="none"/>
        </w:rPr>
        <w:t>供应商</w:t>
      </w:r>
      <w:r>
        <w:rPr>
          <w:rFonts w:ascii="微软雅黑" w:hAnsi="微软雅黑" w:eastAsia="微软雅黑"/>
          <w:color w:val="auto"/>
          <w:sz w:val="24"/>
          <w:szCs w:val="24"/>
          <w:highlight w:val="none"/>
        </w:rPr>
        <w:t>所提供的资质及文件有权进行查询。</w:t>
      </w:r>
    </w:p>
    <w:p w14:paraId="07BAF11C">
      <w:pPr>
        <w:pStyle w:val="4"/>
        <w:spacing w:line="480" w:lineRule="exact"/>
        <w:jc w:val="both"/>
        <w:rPr>
          <w:rFonts w:ascii="微软雅黑" w:hAnsi="微软雅黑" w:eastAsia="微软雅黑"/>
          <w:color w:val="auto"/>
          <w:sz w:val="28"/>
          <w:szCs w:val="28"/>
          <w:highlight w:val="none"/>
        </w:rPr>
      </w:pPr>
      <w:bookmarkStart w:id="147" w:name="_Toc8376315"/>
      <w:bookmarkStart w:id="148" w:name="_Toc31648"/>
      <w:r>
        <w:rPr>
          <w:rFonts w:hint="eastAsia" w:ascii="微软雅黑" w:hAnsi="微软雅黑" w:eastAsia="微软雅黑"/>
          <w:color w:val="auto"/>
          <w:sz w:val="28"/>
          <w:szCs w:val="28"/>
          <w:highlight w:val="none"/>
        </w:rPr>
        <w:t>2</w:t>
      </w:r>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、成交结果公告</w:t>
      </w:r>
      <w:bookmarkEnd w:id="147"/>
      <w:bookmarkEnd w:id="148"/>
    </w:p>
    <w:p w14:paraId="06FD02FD">
      <w:pPr>
        <w:pStyle w:val="12"/>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采购代理机构</w:t>
      </w:r>
      <w:r>
        <w:rPr>
          <w:rFonts w:hint="eastAsia" w:ascii="微软雅黑" w:hAnsi="微软雅黑" w:eastAsia="微软雅黑"/>
          <w:color w:val="auto"/>
          <w:sz w:val="24"/>
          <w:szCs w:val="24"/>
          <w:highlight w:val="none"/>
        </w:rPr>
        <w:t>在成交供应商确定后2个工作日内，在</w:t>
      </w:r>
      <w:r>
        <w:rPr>
          <w:rFonts w:hint="eastAsia" w:ascii="微软雅黑" w:hAnsi="微软雅黑" w:eastAsia="微软雅黑"/>
          <w:color w:val="auto"/>
          <w:sz w:val="24"/>
          <w:szCs w:val="24"/>
          <w:highlight w:val="none"/>
          <w:lang w:val="en-US" w:eastAsia="zh-CN"/>
        </w:rPr>
        <w:t>公示</w:t>
      </w:r>
      <w:r>
        <w:rPr>
          <w:rFonts w:hint="eastAsia" w:ascii="微软雅黑" w:hAnsi="微软雅黑" w:eastAsia="微软雅黑"/>
          <w:color w:val="auto"/>
          <w:sz w:val="24"/>
          <w:szCs w:val="24"/>
          <w:highlight w:val="none"/>
        </w:rPr>
        <w:t>成交结果</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结果公示期满后</w:t>
      </w:r>
      <w:r>
        <w:rPr>
          <w:rFonts w:hint="eastAsia" w:ascii="微软雅黑" w:hAnsi="微软雅黑" w:eastAsia="微软雅黑"/>
          <w:color w:val="auto"/>
          <w:sz w:val="24"/>
          <w:szCs w:val="24"/>
          <w:highlight w:val="none"/>
        </w:rPr>
        <w:t>向成交供应商发出成交通知书。</w:t>
      </w:r>
    </w:p>
    <w:p w14:paraId="690EBFE7">
      <w:pPr>
        <w:pStyle w:val="4"/>
        <w:spacing w:line="480" w:lineRule="exact"/>
        <w:jc w:val="both"/>
        <w:rPr>
          <w:rFonts w:ascii="微软雅黑" w:hAnsi="微软雅黑" w:eastAsia="微软雅黑"/>
          <w:color w:val="auto"/>
          <w:sz w:val="28"/>
          <w:szCs w:val="28"/>
          <w:highlight w:val="none"/>
        </w:rPr>
      </w:pPr>
      <w:bookmarkStart w:id="149" w:name="_Toc8376316"/>
      <w:bookmarkStart w:id="150" w:name="_Toc5383"/>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3、成交通知书</w:t>
      </w:r>
      <w:bookmarkEnd w:id="149"/>
      <w:bookmarkEnd w:id="150"/>
    </w:p>
    <w:p w14:paraId="18789BF4">
      <w:pPr>
        <w:pStyle w:val="12"/>
        <w:spacing w:line="480" w:lineRule="exact"/>
        <w:ind w:left="120" w:leftChars="57" w:firstLine="441" w:firstLineChars="184"/>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3</w:t>
      </w:r>
      <w:r>
        <w:rPr>
          <w:rFonts w:ascii="微软雅黑" w:hAnsi="微软雅黑" w:eastAsia="微软雅黑"/>
          <w:color w:val="auto"/>
          <w:sz w:val="24"/>
          <w:szCs w:val="24"/>
          <w:highlight w:val="none"/>
        </w:rPr>
        <w:t>.1在</w:t>
      </w:r>
      <w:r>
        <w:rPr>
          <w:rFonts w:hint="eastAsia" w:ascii="微软雅黑" w:hAnsi="微软雅黑" w:eastAsia="微软雅黑"/>
          <w:color w:val="auto"/>
          <w:sz w:val="24"/>
          <w:szCs w:val="24"/>
          <w:highlight w:val="none"/>
          <w:lang w:val="en-US" w:eastAsia="zh-CN"/>
        </w:rPr>
        <w:t>结果</w:t>
      </w:r>
      <w:r>
        <w:rPr>
          <w:rFonts w:ascii="微软雅黑" w:hAnsi="微软雅黑" w:eastAsia="微软雅黑"/>
          <w:color w:val="auto"/>
          <w:sz w:val="24"/>
          <w:szCs w:val="24"/>
          <w:highlight w:val="none"/>
        </w:rPr>
        <w:t>公告</w:t>
      </w:r>
      <w:r>
        <w:rPr>
          <w:rFonts w:hint="eastAsia" w:ascii="微软雅黑" w:hAnsi="微软雅黑" w:eastAsia="微软雅黑"/>
          <w:color w:val="auto"/>
          <w:sz w:val="24"/>
          <w:szCs w:val="24"/>
          <w:highlight w:val="none"/>
          <w:lang w:val="en-US" w:eastAsia="zh-CN"/>
        </w:rPr>
        <w:t>公示期满后</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向</w:t>
      </w:r>
      <w:r>
        <w:rPr>
          <w:rFonts w:hint="eastAsia" w:ascii="微软雅黑" w:hAnsi="微软雅黑" w:eastAsia="微软雅黑"/>
          <w:color w:val="auto"/>
          <w:sz w:val="24"/>
          <w:szCs w:val="24"/>
          <w:highlight w:val="none"/>
        </w:rPr>
        <w:t>成交供应商</w:t>
      </w:r>
      <w:r>
        <w:rPr>
          <w:rFonts w:ascii="微软雅黑" w:hAnsi="微软雅黑" w:eastAsia="微软雅黑"/>
          <w:color w:val="auto"/>
          <w:sz w:val="24"/>
          <w:szCs w:val="24"/>
          <w:highlight w:val="none"/>
        </w:rPr>
        <w:t>发出</w:t>
      </w:r>
      <w:r>
        <w:rPr>
          <w:rFonts w:hint="eastAsia" w:ascii="微软雅黑" w:hAnsi="微软雅黑" w:eastAsia="微软雅黑"/>
          <w:color w:val="auto"/>
          <w:sz w:val="24"/>
          <w:szCs w:val="24"/>
          <w:highlight w:val="none"/>
        </w:rPr>
        <w:t>成交</w:t>
      </w:r>
      <w:r>
        <w:rPr>
          <w:rFonts w:ascii="微软雅黑" w:hAnsi="微软雅黑" w:eastAsia="微软雅黑"/>
          <w:color w:val="auto"/>
          <w:sz w:val="24"/>
          <w:szCs w:val="24"/>
          <w:highlight w:val="none"/>
        </w:rPr>
        <w:t>通知书。</w:t>
      </w:r>
    </w:p>
    <w:p w14:paraId="2B300530">
      <w:pPr>
        <w:pStyle w:val="12"/>
        <w:spacing w:line="480" w:lineRule="exact"/>
        <w:ind w:left="120" w:leftChars="57" w:firstLine="441" w:firstLineChars="184"/>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3</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2成交通知书发出后，采购人改变成交结果，成交供应商放弃成交的，应承担相应的法律责任。</w:t>
      </w:r>
    </w:p>
    <w:p w14:paraId="52141979">
      <w:pPr>
        <w:pStyle w:val="4"/>
        <w:spacing w:line="480" w:lineRule="exact"/>
        <w:jc w:val="both"/>
        <w:rPr>
          <w:rFonts w:ascii="微软雅黑" w:hAnsi="微软雅黑" w:eastAsia="微软雅黑"/>
          <w:color w:val="auto"/>
          <w:sz w:val="28"/>
          <w:szCs w:val="28"/>
          <w:highlight w:val="none"/>
        </w:rPr>
      </w:pPr>
      <w:bookmarkStart w:id="151" w:name="_Toc8376317"/>
      <w:bookmarkStart w:id="152" w:name="_Toc27929"/>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4、签订合同</w:t>
      </w:r>
      <w:bookmarkEnd w:id="151"/>
      <w:bookmarkEnd w:id="152"/>
    </w:p>
    <w:p w14:paraId="1E9BD0AE">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24.1成交供应商应在成交通知书发出之日起30日内按照比选文件和</w:t>
      </w:r>
      <w:r>
        <w:rPr>
          <w:rFonts w:ascii="微软雅黑" w:hAnsi="微软雅黑" w:eastAsia="微软雅黑"/>
          <w:color w:val="auto"/>
          <w:sz w:val="24"/>
          <w:szCs w:val="24"/>
          <w:highlight w:val="none"/>
        </w:rPr>
        <w:t>成交供应商</w:t>
      </w:r>
      <w:r>
        <w:rPr>
          <w:rFonts w:hint="eastAsia" w:ascii="微软雅黑" w:hAnsi="微软雅黑" w:eastAsia="微软雅黑"/>
          <w:color w:val="auto"/>
          <w:sz w:val="24"/>
          <w:szCs w:val="24"/>
          <w:highlight w:val="none"/>
        </w:rPr>
        <w:t>的</w:t>
      </w:r>
      <w:r>
        <w:rPr>
          <w:rFonts w:ascii="微软雅黑" w:hAnsi="微软雅黑" w:eastAsia="微软雅黑"/>
          <w:color w:val="auto"/>
          <w:sz w:val="24"/>
          <w:szCs w:val="24"/>
          <w:highlight w:val="none"/>
        </w:rPr>
        <w:t>响应文件</w:t>
      </w:r>
      <w:r>
        <w:rPr>
          <w:rFonts w:hint="eastAsia" w:ascii="微软雅黑" w:hAnsi="微软雅黑" w:eastAsia="微软雅黑"/>
          <w:color w:val="auto"/>
          <w:sz w:val="24"/>
          <w:szCs w:val="24"/>
          <w:highlight w:val="none"/>
        </w:rPr>
        <w:t>与采购人</w:t>
      </w:r>
      <w:r>
        <w:rPr>
          <w:rFonts w:ascii="微软雅黑" w:hAnsi="微软雅黑" w:eastAsia="微软雅黑"/>
          <w:color w:val="auto"/>
          <w:sz w:val="24"/>
          <w:szCs w:val="24"/>
          <w:highlight w:val="none"/>
        </w:rPr>
        <w:t>签订书面合同。所签订的合同不得对比选文件确定的事项和成交供应商响应文件作实质性修改。</w:t>
      </w:r>
    </w:p>
    <w:p w14:paraId="5FCFFA1C">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24.2</w:t>
      </w:r>
      <w:r>
        <w:rPr>
          <w:rFonts w:ascii="微软雅黑" w:hAnsi="微软雅黑" w:eastAsia="微软雅黑"/>
          <w:color w:val="auto"/>
          <w:sz w:val="24"/>
          <w:szCs w:val="24"/>
          <w:highlight w:val="none"/>
        </w:rPr>
        <w:t>采购合同应当包括采购人与成交供应商的名称和住所、标的、数量、质量、价款或者报酬、履行期限及地点和方式、验收要求、违约责任、解决争议的方法等内容</w:t>
      </w:r>
      <w:r>
        <w:rPr>
          <w:rFonts w:hint="eastAsia" w:ascii="微软雅黑" w:hAnsi="微软雅黑" w:eastAsia="微软雅黑"/>
          <w:color w:val="auto"/>
          <w:sz w:val="24"/>
          <w:szCs w:val="24"/>
          <w:highlight w:val="none"/>
        </w:rPr>
        <w:t>。比选文件、成交供应商的响应文件及澄清文件等，均作为合同的附件。</w:t>
      </w:r>
    </w:p>
    <w:p w14:paraId="2E8D3EAD">
      <w:pPr>
        <w:spacing w:line="480" w:lineRule="exact"/>
        <w:ind w:firstLine="482"/>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.3合同履行中，采购人需追加与合同标的相同的货物、工程或者服务的，在不改变合同其他条款的前提下，可以与供应商协商签订补充合同，但所有补充合同的采购金额不得超过原合同采购金额的百分之十。</w:t>
      </w:r>
    </w:p>
    <w:p w14:paraId="4899FD62">
      <w:pPr>
        <w:spacing w:line="480" w:lineRule="exact"/>
        <w:ind w:firstLine="482"/>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.4</w:t>
      </w:r>
      <w:r>
        <w:rPr>
          <w:rFonts w:hint="eastAsia" w:ascii="微软雅黑" w:hAnsi="微软雅黑" w:eastAsia="微软雅黑"/>
          <w:color w:val="auto"/>
          <w:sz w:val="24"/>
          <w:szCs w:val="24"/>
          <w:highlight w:val="none"/>
        </w:rPr>
        <w:t>成交供应商因不可抗力或者自身原因不能履行采购合同的，采购人可以按照评审报告推荐的成交候选人名单排序，确定下一候选人为成交供应商，也可以重新开展采购活动。</w:t>
      </w:r>
    </w:p>
    <w:p w14:paraId="683D0D4E">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w:t>
      </w:r>
      <w:r>
        <w:rPr>
          <w:rFonts w:ascii="微软雅黑" w:hAnsi="微软雅黑" w:eastAsia="微软雅黑"/>
          <w:color w:val="auto"/>
          <w:sz w:val="24"/>
          <w:szCs w:val="24"/>
          <w:highlight w:val="none"/>
        </w:rPr>
        <w:t>5</w:t>
      </w:r>
      <w:r>
        <w:rPr>
          <w:rFonts w:hint="eastAsia" w:ascii="微软雅黑" w:hAnsi="微软雅黑" w:eastAsia="微软雅黑"/>
          <w:color w:val="auto"/>
          <w:sz w:val="24"/>
          <w:szCs w:val="24"/>
          <w:highlight w:val="none"/>
        </w:rPr>
        <w:t>成交供应商成交后无正当理由不与采购人签订合同的，不得参加该项目重新开展的采购活动，并不予退还其交纳的比选保证金，同时上报财政监管部门处罚。</w:t>
      </w:r>
    </w:p>
    <w:p w14:paraId="12111F6E">
      <w:pPr>
        <w:pStyle w:val="4"/>
        <w:numPr>
          <w:ilvl w:val="0"/>
          <w:numId w:val="4"/>
        </w:numPr>
        <w:spacing w:line="480" w:lineRule="exact"/>
        <w:rPr>
          <w:rFonts w:ascii="微软雅黑" w:hAnsi="微软雅黑" w:eastAsia="微软雅黑"/>
          <w:color w:val="auto"/>
          <w:sz w:val="36"/>
          <w:szCs w:val="36"/>
          <w:highlight w:val="none"/>
        </w:rPr>
      </w:pPr>
      <w:bookmarkStart w:id="153" w:name="_Toc20161"/>
      <w:bookmarkStart w:id="154" w:name="_Toc8376318"/>
      <w:r>
        <w:rPr>
          <w:rFonts w:hint="eastAsia" w:ascii="微软雅黑" w:hAnsi="微软雅黑" w:eastAsia="微软雅黑"/>
          <w:color w:val="auto"/>
          <w:sz w:val="36"/>
          <w:szCs w:val="36"/>
          <w:highlight w:val="none"/>
        </w:rPr>
        <w:t>其他事项</w:t>
      </w:r>
      <w:bookmarkEnd w:id="153"/>
      <w:bookmarkEnd w:id="154"/>
    </w:p>
    <w:p w14:paraId="346AF9AF">
      <w:pPr>
        <w:pStyle w:val="4"/>
        <w:spacing w:line="480" w:lineRule="exact"/>
        <w:jc w:val="both"/>
        <w:rPr>
          <w:rFonts w:ascii="微软雅黑" w:hAnsi="微软雅黑" w:eastAsia="微软雅黑"/>
          <w:color w:val="auto"/>
          <w:sz w:val="28"/>
          <w:szCs w:val="28"/>
          <w:highlight w:val="none"/>
        </w:rPr>
      </w:pPr>
      <w:bookmarkStart w:id="155" w:name="_Toc8376319"/>
      <w:bookmarkStart w:id="156" w:name="_Toc10270"/>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5、采购代理服务费</w:t>
      </w:r>
      <w:bookmarkEnd w:id="155"/>
      <w:bookmarkEnd w:id="156"/>
    </w:p>
    <w:p w14:paraId="5BE4B442">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5</w:t>
      </w:r>
      <w:r>
        <w:rPr>
          <w:rFonts w:ascii="微软雅黑" w:hAnsi="微软雅黑" w:eastAsia="微软雅黑"/>
          <w:color w:val="auto"/>
          <w:sz w:val="24"/>
          <w:szCs w:val="24"/>
          <w:highlight w:val="none"/>
        </w:rPr>
        <w:t>.1成交供应商在成交通知发出时，应按“供应商须知前附表”规定向</w:t>
      </w:r>
      <w:r>
        <w:rPr>
          <w:rFonts w:hint="eastAsia" w:ascii="微软雅黑" w:hAnsi="微软雅黑" w:eastAsia="微软雅黑"/>
          <w:color w:val="auto"/>
          <w:sz w:val="24"/>
          <w:szCs w:val="24"/>
          <w:highlight w:val="none"/>
        </w:rPr>
        <w:t>采购代理机构缴付全额</w:t>
      </w:r>
      <w:r>
        <w:rPr>
          <w:rFonts w:ascii="微软雅黑" w:hAnsi="微软雅黑" w:eastAsia="微软雅黑"/>
          <w:color w:val="auto"/>
          <w:sz w:val="24"/>
          <w:szCs w:val="24"/>
          <w:highlight w:val="none"/>
        </w:rPr>
        <w:t>采购代理服务费。</w:t>
      </w:r>
    </w:p>
    <w:p w14:paraId="4EB35037">
      <w:pPr>
        <w:spacing w:line="480" w:lineRule="exact"/>
        <w:ind w:firstLine="48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5.2采购代理服务费只接受公对公转账、支票、汇票。</w:t>
      </w:r>
    </w:p>
    <w:p w14:paraId="3E37A821">
      <w:pPr>
        <w:pStyle w:val="4"/>
        <w:spacing w:line="480" w:lineRule="exact"/>
        <w:jc w:val="both"/>
        <w:rPr>
          <w:rFonts w:ascii="微软雅黑" w:hAnsi="微软雅黑" w:eastAsia="微软雅黑"/>
          <w:color w:val="auto"/>
          <w:sz w:val="28"/>
          <w:szCs w:val="28"/>
          <w:highlight w:val="none"/>
        </w:rPr>
      </w:pPr>
      <w:bookmarkStart w:id="157" w:name="_Toc8376320"/>
      <w:bookmarkStart w:id="158" w:name="_Toc11575"/>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6、解释权</w:t>
      </w:r>
      <w:bookmarkEnd w:id="157"/>
      <w:bookmarkEnd w:id="158"/>
    </w:p>
    <w:p w14:paraId="7C512DC9">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本比选文件是参照国家有关法律、法律以及采购管理有关规定编制的，解释权属于采购代理机构。</w:t>
      </w:r>
    </w:p>
    <w:p w14:paraId="6EF632C3">
      <w:pPr>
        <w:pStyle w:val="4"/>
        <w:spacing w:line="480" w:lineRule="exact"/>
        <w:jc w:val="both"/>
        <w:rPr>
          <w:rFonts w:ascii="微软雅黑" w:hAnsi="微软雅黑" w:eastAsia="微软雅黑"/>
          <w:color w:val="auto"/>
          <w:sz w:val="28"/>
          <w:szCs w:val="28"/>
          <w:highlight w:val="none"/>
        </w:rPr>
      </w:pPr>
      <w:bookmarkStart w:id="159" w:name="_Toc1483"/>
      <w:bookmarkStart w:id="160" w:name="_Toc8376321"/>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7、未尽事宜</w:t>
      </w:r>
      <w:bookmarkEnd w:id="159"/>
      <w:bookmarkEnd w:id="160"/>
    </w:p>
    <w:p w14:paraId="6C859CDF">
      <w:pPr>
        <w:spacing w:line="480" w:lineRule="exact"/>
        <w:ind w:firstLine="549"/>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29</w:t>
      </w:r>
      <w:r>
        <w:rPr>
          <w:rFonts w:hint="eastAsia" w:ascii="微软雅黑" w:hAnsi="微软雅黑" w:eastAsia="微软雅黑"/>
          <w:color w:val="auto"/>
          <w:sz w:val="24"/>
          <w:szCs w:val="24"/>
          <w:highlight w:val="none"/>
        </w:rPr>
        <w:t>.1按其他有关法律法规的规定执行。</w:t>
      </w:r>
    </w:p>
    <w:p w14:paraId="75E91BC0">
      <w:pPr>
        <w:pStyle w:val="3"/>
        <w:spacing w:line="360" w:lineRule="auto"/>
        <w:ind w:firstLine="0"/>
        <w:jc w:val="both"/>
        <w:rPr>
          <w:rFonts w:ascii="微软雅黑" w:hAnsi="微软雅黑" w:eastAsia="微软雅黑"/>
          <w:color w:val="auto"/>
          <w:sz w:val="44"/>
          <w:highlight w:val="none"/>
        </w:rPr>
        <w:sectPr>
          <w:headerReference r:id="rId17" w:type="first"/>
          <w:footerReference r:id="rId20" w:type="first"/>
          <w:headerReference r:id="rId15" w:type="default"/>
          <w:footerReference r:id="rId18" w:type="default"/>
          <w:headerReference r:id="rId16" w:type="even"/>
          <w:footerReference r:id="rId19" w:type="even"/>
          <w:pgSz w:w="11906" w:h="16838"/>
          <w:pgMar w:top="1440" w:right="991" w:bottom="1440" w:left="1797" w:header="851" w:footer="992" w:gutter="0"/>
          <w:pgNumType w:fmt="decimal"/>
          <w:cols w:space="720" w:num="1"/>
          <w:docGrid w:type="lines" w:linePitch="312" w:charSpace="0"/>
        </w:sectPr>
      </w:pPr>
    </w:p>
    <w:p w14:paraId="204EB08E">
      <w:pPr>
        <w:rPr>
          <w:rFonts w:ascii="微软雅黑" w:hAnsi="微软雅黑" w:eastAsia="微软雅黑"/>
          <w:color w:val="auto"/>
          <w:sz w:val="44"/>
          <w:highlight w:val="none"/>
        </w:rPr>
      </w:pPr>
      <w:bookmarkStart w:id="161" w:name="_Toc8376322"/>
      <w:bookmarkStart w:id="162" w:name="_Toc352247318"/>
      <w:bookmarkStart w:id="163" w:name="_Toc357695670"/>
    </w:p>
    <w:p w14:paraId="63B18327">
      <w:pPr>
        <w:rPr>
          <w:rFonts w:ascii="微软雅黑" w:hAnsi="微软雅黑" w:eastAsia="微软雅黑"/>
          <w:color w:val="auto"/>
          <w:sz w:val="44"/>
          <w:highlight w:val="none"/>
        </w:rPr>
      </w:pPr>
    </w:p>
    <w:p w14:paraId="6B73DF1B">
      <w:pPr>
        <w:rPr>
          <w:rFonts w:ascii="微软雅黑" w:hAnsi="微软雅黑" w:eastAsia="微软雅黑"/>
          <w:color w:val="auto"/>
          <w:sz w:val="44"/>
          <w:highlight w:val="none"/>
        </w:rPr>
      </w:pPr>
    </w:p>
    <w:p w14:paraId="27B49910">
      <w:pPr>
        <w:rPr>
          <w:rFonts w:ascii="微软雅黑" w:hAnsi="微软雅黑" w:eastAsia="微软雅黑"/>
          <w:color w:val="auto"/>
          <w:sz w:val="44"/>
          <w:highlight w:val="none"/>
        </w:rPr>
      </w:pPr>
    </w:p>
    <w:p w14:paraId="5281D96C">
      <w:pPr>
        <w:rPr>
          <w:color w:val="auto"/>
          <w:highlight w:val="none"/>
        </w:rPr>
      </w:pPr>
    </w:p>
    <w:p w14:paraId="32D81960">
      <w:pPr>
        <w:rPr>
          <w:color w:val="auto"/>
          <w:highlight w:val="none"/>
        </w:rPr>
      </w:pPr>
    </w:p>
    <w:p w14:paraId="42D40703">
      <w:pPr>
        <w:rPr>
          <w:color w:val="auto"/>
          <w:highlight w:val="none"/>
        </w:rPr>
      </w:pPr>
    </w:p>
    <w:p w14:paraId="67D33B32">
      <w:pPr>
        <w:widowControl/>
        <w:jc w:val="left"/>
        <w:rPr>
          <w:rFonts w:ascii="微软雅黑" w:hAnsi="微软雅黑" w:eastAsia="微软雅黑"/>
          <w:b/>
          <w:bCs/>
          <w:color w:val="auto"/>
          <w:sz w:val="44"/>
          <w:szCs w:val="32"/>
          <w:highlight w:val="none"/>
        </w:rPr>
      </w:pPr>
      <w:r>
        <w:rPr>
          <w:rFonts w:ascii="微软雅黑" w:hAnsi="微软雅黑" w:eastAsia="微软雅黑"/>
          <w:color w:val="auto"/>
          <w:sz w:val="44"/>
          <w:highlight w:val="none"/>
        </w:rPr>
        <w:br w:type="page"/>
      </w:r>
    </w:p>
    <w:p w14:paraId="626FCAB6">
      <w:pPr>
        <w:pStyle w:val="3"/>
        <w:spacing w:line="240" w:lineRule="auto"/>
        <w:ind w:firstLine="0"/>
        <w:rPr>
          <w:color w:val="auto"/>
          <w:highlight w:val="none"/>
        </w:rPr>
      </w:pPr>
      <w:bookmarkStart w:id="164" w:name="_Toc12832"/>
      <w:r>
        <w:rPr>
          <w:rFonts w:hint="eastAsia" w:ascii="微软雅黑" w:hAnsi="微软雅黑" w:eastAsia="微软雅黑"/>
          <w:color w:val="auto"/>
          <w:sz w:val="44"/>
          <w:highlight w:val="none"/>
        </w:rPr>
        <w:t>第四章 合同</w:t>
      </w:r>
      <w:bookmarkEnd w:id="161"/>
      <w:bookmarkEnd w:id="164"/>
    </w:p>
    <w:bookmarkEnd w:id="162"/>
    <w:bookmarkEnd w:id="163"/>
    <w:p w14:paraId="0E533633">
      <w:pPr>
        <w:spacing w:line="480" w:lineRule="exact"/>
        <w:ind w:firstLine="480"/>
        <w:rPr>
          <w:rFonts w:hint="eastAsia" w:ascii="微软雅黑" w:hAnsi="微软雅黑" w:eastAsia="微软雅黑" w:cs="微软雅黑"/>
          <w:b/>
          <w:bCs/>
          <w:color w:val="auto"/>
          <w:sz w:val="24"/>
          <w:szCs w:val="24"/>
          <w:highlight w:val="none"/>
        </w:rPr>
      </w:pPr>
    </w:p>
    <w:p w14:paraId="2A2DA316">
      <w:pPr>
        <w:spacing w:line="480" w:lineRule="exact"/>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1、签订合同应遵守《中华人民共和国民法典》。</w:t>
      </w:r>
    </w:p>
    <w:p w14:paraId="4C8F812A">
      <w:pPr>
        <w:spacing w:line="480" w:lineRule="exact"/>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2、签订合同时，应结合</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第四章规定填列相应内容。如果双方使用</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第四章已有规定的条款及格式，双方均不得对规定进行变更或调整；</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第四章未作规定的条款及格式，双方可通过友好协商进行约定。</w:t>
      </w:r>
    </w:p>
    <w:p w14:paraId="6E7DEE92">
      <w:pPr>
        <w:spacing w:line="480" w:lineRule="exact"/>
        <w:ind w:firstLine="480"/>
        <w:rPr>
          <w:rFonts w:hint="eastAsia" w:ascii="微软雅黑" w:hAnsi="微软雅黑" w:eastAsia="微软雅黑" w:cs="微软雅黑"/>
          <w:color w:val="auto"/>
          <w:sz w:val="24"/>
          <w:szCs w:val="24"/>
          <w:highlight w:val="none"/>
        </w:rPr>
      </w:pPr>
    </w:p>
    <w:p w14:paraId="50BC5CDE">
      <w:pPr>
        <w:tabs>
          <w:tab w:val="left" w:pos="8715"/>
        </w:tabs>
        <w:spacing w:line="360" w:lineRule="auto"/>
        <w:ind w:firstLine="480" w:firstLineChars="200"/>
        <w:jc w:val="left"/>
        <w:rPr>
          <w:rFonts w:hint="eastAsia" w:ascii="微软雅黑" w:hAnsi="微软雅黑" w:eastAsia="微软雅黑" w:cs="微软雅黑"/>
          <w:b/>
          <w:bCs/>
          <w:color w:val="auto"/>
          <w:sz w:val="24"/>
          <w:szCs w:val="24"/>
          <w:highlight w:val="none"/>
        </w:rPr>
        <w:sectPr>
          <w:headerReference r:id="rId21" w:type="default"/>
          <w:type w:val="continuous"/>
          <w:pgSz w:w="11906" w:h="16838"/>
          <w:pgMar w:top="1440" w:right="1106" w:bottom="1440" w:left="1797" w:header="851" w:footer="992" w:gutter="0"/>
          <w:pgNumType w:fmt="decimal"/>
          <w:cols w:space="720" w:num="1"/>
          <w:titlePg/>
          <w:docGrid w:linePitch="312" w:charSpace="0"/>
        </w:sectPr>
      </w:pPr>
      <w:r>
        <w:rPr>
          <w:rFonts w:hint="eastAsia" w:ascii="微软雅黑" w:hAnsi="微软雅黑" w:eastAsia="微软雅黑" w:cs="微软雅黑"/>
          <w:b/>
          <w:bCs/>
          <w:color w:val="auto"/>
          <w:sz w:val="24"/>
          <w:szCs w:val="24"/>
          <w:highlight w:val="none"/>
        </w:rPr>
        <w:t>注：合同内容不得违背本</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实质性要求</w:t>
      </w:r>
    </w:p>
    <w:p w14:paraId="719FF22F">
      <w:pPr>
        <w:rPr>
          <w:rFonts w:hint="eastAsia" w:ascii="微软雅黑" w:hAnsi="微软雅黑" w:eastAsia="微软雅黑" w:cs="微软雅黑"/>
          <w:b/>
          <w:bCs/>
          <w:color w:val="auto"/>
          <w:sz w:val="44"/>
          <w:szCs w:val="32"/>
          <w:highlight w:val="none"/>
        </w:rPr>
      </w:pPr>
    </w:p>
    <w:p w14:paraId="32103CBE">
      <w:pPr>
        <w:pStyle w:val="3"/>
        <w:spacing w:line="240" w:lineRule="auto"/>
        <w:ind w:firstLine="0"/>
        <w:rPr>
          <w:rFonts w:hint="eastAsia" w:ascii="微软雅黑" w:hAnsi="微软雅黑" w:eastAsia="微软雅黑"/>
          <w:color w:val="auto"/>
          <w:sz w:val="44"/>
          <w:highlight w:val="none"/>
        </w:rPr>
        <w:sectPr>
          <w:type w:val="continuous"/>
          <w:pgSz w:w="11906" w:h="16838"/>
          <w:pgMar w:top="1440" w:right="1106" w:bottom="1440" w:left="1797" w:header="851" w:footer="992" w:gutter="0"/>
          <w:pgNumType w:fmt="decimal"/>
          <w:cols w:space="720" w:num="1"/>
          <w:titlePg/>
          <w:docGrid w:linePitch="312" w:charSpace="0"/>
        </w:sectPr>
      </w:pPr>
    </w:p>
    <w:p w14:paraId="134461A3">
      <w:pPr>
        <w:pStyle w:val="3"/>
        <w:spacing w:line="240" w:lineRule="auto"/>
        <w:ind w:firstLine="0"/>
        <w:rPr>
          <w:rFonts w:ascii="微软雅黑" w:hAnsi="微软雅黑" w:eastAsia="微软雅黑"/>
          <w:color w:val="auto"/>
          <w:sz w:val="44"/>
          <w:highlight w:val="none"/>
        </w:rPr>
      </w:pPr>
      <w:bookmarkStart w:id="165" w:name="_Toc478"/>
      <w:r>
        <w:rPr>
          <w:rFonts w:hint="eastAsia" w:ascii="微软雅黑" w:hAnsi="微软雅黑" w:eastAsia="微软雅黑"/>
          <w:color w:val="auto"/>
          <w:sz w:val="44"/>
          <w:highlight w:val="none"/>
        </w:rPr>
        <w:t>第五章 附件（比选响应文件格式）</w:t>
      </w:r>
      <w:bookmarkEnd w:id="165"/>
    </w:p>
    <w:bookmarkEnd w:id="9"/>
    <w:bookmarkEnd w:id="10"/>
    <w:p w14:paraId="77930F54">
      <w:pPr>
        <w:tabs>
          <w:tab w:val="left" w:pos="825"/>
          <w:tab w:val="center" w:pos="4426"/>
        </w:tabs>
        <w:spacing w:line="700" w:lineRule="exact"/>
        <w:ind w:left="2410" w:hanging="2410"/>
        <w:jc w:val="left"/>
        <w:rPr>
          <w:rFonts w:ascii="微软雅黑" w:hAnsi="微软雅黑" w:eastAsia="微软雅黑"/>
          <w:b/>
          <w:bCs/>
          <w:color w:val="auto"/>
          <w:sz w:val="48"/>
          <w:szCs w:val="48"/>
          <w:highlight w:val="none"/>
        </w:rPr>
      </w:pPr>
    </w:p>
    <w:p w14:paraId="5453FF0C">
      <w:pPr>
        <w:tabs>
          <w:tab w:val="left" w:pos="825"/>
          <w:tab w:val="center" w:pos="4426"/>
        </w:tabs>
        <w:spacing w:line="700" w:lineRule="exact"/>
        <w:ind w:left="2410" w:hanging="2410"/>
        <w:jc w:val="left"/>
        <w:rPr>
          <w:rFonts w:ascii="微软雅黑" w:hAnsi="微软雅黑" w:eastAsia="微软雅黑"/>
          <w:b/>
          <w:bCs/>
          <w:color w:val="auto"/>
          <w:sz w:val="48"/>
          <w:szCs w:val="48"/>
          <w:highlight w:val="none"/>
        </w:rPr>
      </w:pPr>
    </w:p>
    <w:p w14:paraId="0E3E4FCB">
      <w:pPr>
        <w:tabs>
          <w:tab w:val="left" w:pos="825"/>
          <w:tab w:val="center" w:pos="4426"/>
        </w:tabs>
        <w:spacing w:line="700" w:lineRule="exact"/>
        <w:jc w:val="center"/>
        <w:rPr>
          <w:rFonts w:hint="eastAsia" w:ascii="微软雅黑" w:hAnsi="微软雅黑" w:eastAsia="微软雅黑"/>
          <w:b/>
          <w:bCs/>
          <w:color w:val="auto"/>
          <w:sz w:val="48"/>
          <w:szCs w:val="48"/>
          <w:highlight w:val="none"/>
          <w:lang w:eastAsia="zh-CN"/>
        </w:rPr>
      </w:pPr>
      <w:r>
        <w:rPr>
          <w:rFonts w:hint="eastAsia" w:ascii="微软雅黑" w:hAnsi="微软雅黑" w:eastAsia="微软雅黑"/>
          <w:b/>
          <w:color w:val="auto"/>
          <w:sz w:val="44"/>
          <w:szCs w:val="44"/>
          <w:highlight w:val="none"/>
          <w:lang w:eastAsia="zh-CN"/>
        </w:rPr>
        <w:t>红谷滩区现代服务产业园能耗监测系统技术服务（第二次）</w:t>
      </w:r>
    </w:p>
    <w:p w14:paraId="3D563DF6">
      <w:pPr>
        <w:tabs>
          <w:tab w:val="left" w:pos="0"/>
          <w:tab w:val="center" w:pos="4426"/>
        </w:tabs>
        <w:spacing w:line="700" w:lineRule="exact"/>
        <w:ind w:firstLine="186" w:firstLineChars="58"/>
        <w:jc w:val="center"/>
        <w:rPr>
          <w:rFonts w:ascii="微软雅黑" w:hAnsi="微软雅黑" w:eastAsia="微软雅黑"/>
          <w:b/>
          <w:color w:val="auto"/>
          <w:sz w:val="48"/>
          <w:szCs w:val="48"/>
          <w:highlight w:val="none"/>
        </w:rPr>
      </w:pPr>
      <w:r>
        <w:rPr>
          <w:rFonts w:hint="eastAsia" w:ascii="微软雅黑" w:hAnsi="微软雅黑" w:eastAsia="微软雅黑"/>
          <w:b/>
          <w:bCs/>
          <w:color w:val="auto"/>
          <w:sz w:val="32"/>
          <w:szCs w:val="32"/>
          <w:highlight w:val="none"/>
        </w:rPr>
        <w:t>【采购编号：</w:t>
      </w:r>
      <w:r>
        <w:rPr>
          <w:rFonts w:hint="eastAsia" w:ascii="微软雅黑" w:hAnsi="微软雅黑" w:eastAsia="微软雅黑"/>
          <w:b/>
          <w:bCs/>
          <w:color w:val="auto"/>
          <w:sz w:val="32"/>
          <w:szCs w:val="32"/>
          <w:highlight w:val="none"/>
          <w:lang w:eastAsia="zh-CN"/>
        </w:rPr>
        <w:t>NCCH2026-B0404-1</w:t>
      </w:r>
      <w:r>
        <w:rPr>
          <w:rFonts w:hint="eastAsia" w:ascii="微软雅黑" w:hAnsi="微软雅黑" w:eastAsia="微软雅黑"/>
          <w:b/>
          <w:bCs/>
          <w:color w:val="auto"/>
          <w:sz w:val="32"/>
          <w:szCs w:val="32"/>
          <w:highlight w:val="none"/>
        </w:rPr>
        <w:t>】</w:t>
      </w:r>
    </w:p>
    <w:p w14:paraId="24A3B7B6">
      <w:pPr>
        <w:tabs>
          <w:tab w:val="left" w:pos="0"/>
          <w:tab w:val="center" w:pos="4426"/>
        </w:tabs>
        <w:spacing w:line="700" w:lineRule="exact"/>
        <w:ind w:firstLine="279" w:firstLineChars="58"/>
        <w:jc w:val="left"/>
        <w:rPr>
          <w:rFonts w:ascii="微软雅黑" w:hAnsi="微软雅黑" w:eastAsia="微软雅黑"/>
          <w:b/>
          <w:color w:val="auto"/>
          <w:sz w:val="48"/>
          <w:szCs w:val="48"/>
          <w:highlight w:val="none"/>
        </w:rPr>
      </w:pPr>
    </w:p>
    <w:p w14:paraId="6FCFDD01">
      <w:pPr>
        <w:rPr>
          <w:rFonts w:ascii="微软雅黑" w:hAnsi="微软雅黑" w:eastAsia="微软雅黑"/>
          <w:b/>
          <w:color w:val="auto"/>
          <w:sz w:val="36"/>
          <w:szCs w:val="36"/>
          <w:highlight w:val="none"/>
        </w:rPr>
      </w:pPr>
    </w:p>
    <w:p w14:paraId="4C2D20A2">
      <w:pPr>
        <w:jc w:val="center"/>
        <w:rPr>
          <w:rFonts w:ascii="微软雅黑" w:hAnsi="微软雅黑" w:eastAsia="微软雅黑"/>
          <w:b/>
          <w:color w:val="auto"/>
          <w:sz w:val="36"/>
          <w:szCs w:val="36"/>
          <w:highlight w:val="none"/>
        </w:rPr>
      </w:pPr>
    </w:p>
    <w:p w14:paraId="3A322E7A">
      <w:pPr>
        <w:spacing w:line="1000" w:lineRule="exact"/>
        <w:ind w:firstLine="860" w:firstLineChars="100"/>
        <w:rPr>
          <w:rFonts w:ascii="微软雅黑" w:hAnsi="微软雅黑" w:eastAsia="微软雅黑" w:cs="黑体"/>
          <w:b/>
          <w:bCs/>
          <w:color w:val="auto"/>
          <w:sz w:val="86"/>
          <w:szCs w:val="86"/>
          <w:highlight w:val="none"/>
        </w:rPr>
      </w:pPr>
      <w:r>
        <w:rPr>
          <w:rFonts w:hint="eastAsia" w:ascii="微软雅黑" w:hAnsi="微软雅黑" w:eastAsia="微软雅黑" w:cs="黑体"/>
          <w:b/>
          <w:bCs/>
          <w:color w:val="auto"/>
          <w:kern w:val="0"/>
          <w:sz w:val="86"/>
          <w:szCs w:val="86"/>
          <w:highlight w:val="none"/>
        </w:rPr>
        <w:t xml:space="preserve">比 选 </w:t>
      </w:r>
      <w:r>
        <w:rPr>
          <w:rFonts w:hint="eastAsia" w:ascii="微软雅黑" w:hAnsi="微软雅黑" w:eastAsia="微软雅黑" w:cs="黑体"/>
          <w:b/>
          <w:bCs/>
          <w:color w:val="auto"/>
          <w:spacing w:val="145"/>
          <w:kern w:val="0"/>
          <w:sz w:val="86"/>
          <w:szCs w:val="86"/>
          <w:highlight w:val="none"/>
          <w:fitText w:val="4315" w:id="1"/>
        </w:rPr>
        <w:t>响应文</w:t>
      </w:r>
      <w:r>
        <w:rPr>
          <w:rFonts w:hint="eastAsia" w:ascii="微软雅黑" w:hAnsi="微软雅黑" w:eastAsia="微软雅黑" w:cs="黑体"/>
          <w:b/>
          <w:bCs/>
          <w:color w:val="auto"/>
          <w:spacing w:val="2"/>
          <w:kern w:val="0"/>
          <w:sz w:val="86"/>
          <w:szCs w:val="86"/>
          <w:highlight w:val="none"/>
          <w:fitText w:val="4315" w:id="1"/>
        </w:rPr>
        <w:t>件</w:t>
      </w:r>
    </w:p>
    <w:p w14:paraId="28C65D0B">
      <w:pPr>
        <w:spacing w:line="1000" w:lineRule="exact"/>
        <w:jc w:val="center"/>
        <w:rPr>
          <w:rFonts w:ascii="微软雅黑" w:hAnsi="微软雅黑" w:eastAsia="微软雅黑"/>
          <w:b/>
          <w:color w:val="auto"/>
          <w:sz w:val="44"/>
          <w:szCs w:val="44"/>
          <w:highlight w:val="none"/>
        </w:rPr>
      </w:pPr>
    </w:p>
    <w:p w14:paraId="3ED446DD">
      <w:pPr>
        <w:spacing w:afterLines="50" w:line="1000" w:lineRule="exact"/>
        <w:jc w:val="center"/>
        <w:rPr>
          <w:rFonts w:ascii="微软雅黑" w:hAnsi="微软雅黑" w:eastAsia="微软雅黑"/>
          <w:b/>
          <w:color w:val="auto"/>
          <w:sz w:val="44"/>
          <w:szCs w:val="44"/>
          <w:highlight w:val="none"/>
        </w:rPr>
      </w:pPr>
    </w:p>
    <w:p w14:paraId="1CD97CEA">
      <w:pPr>
        <w:spacing w:afterLines="50"/>
        <w:ind w:firstLine="2545" w:firstLineChars="795"/>
        <w:rPr>
          <w:rFonts w:hint="eastAsia" w:ascii="微软雅黑" w:hAnsi="微软雅黑" w:eastAsia="微软雅黑"/>
          <w:b/>
          <w:color w:val="auto"/>
          <w:sz w:val="32"/>
          <w:szCs w:val="21"/>
          <w:highlight w:val="none"/>
        </w:rPr>
      </w:pPr>
    </w:p>
    <w:p w14:paraId="43477196">
      <w:pPr>
        <w:spacing w:afterLines="50"/>
        <w:ind w:firstLine="2545" w:firstLineChars="795"/>
        <w:rPr>
          <w:rFonts w:hint="eastAsia" w:ascii="微软雅黑" w:hAnsi="微软雅黑" w:eastAsia="微软雅黑"/>
          <w:b/>
          <w:color w:val="auto"/>
          <w:sz w:val="32"/>
          <w:szCs w:val="21"/>
          <w:highlight w:val="none"/>
        </w:rPr>
      </w:pPr>
    </w:p>
    <w:p w14:paraId="5B037D35">
      <w:pPr>
        <w:spacing w:afterLines="50"/>
        <w:ind w:firstLine="2545" w:firstLineChars="795"/>
        <w:rPr>
          <w:rFonts w:hint="eastAsia" w:ascii="微软雅黑" w:hAnsi="微软雅黑" w:eastAsia="微软雅黑"/>
          <w:b/>
          <w:color w:val="auto"/>
          <w:sz w:val="32"/>
          <w:szCs w:val="21"/>
          <w:highlight w:val="none"/>
        </w:rPr>
      </w:pPr>
    </w:p>
    <w:p w14:paraId="1AD53E66">
      <w:pPr>
        <w:spacing w:afterLines="50"/>
        <w:ind w:firstLine="2545" w:firstLineChars="795"/>
        <w:rPr>
          <w:rFonts w:hint="eastAsia" w:ascii="微软雅黑" w:hAnsi="微软雅黑" w:eastAsia="微软雅黑"/>
          <w:b/>
          <w:color w:val="auto"/>
          <w:sz w:val="32"/>
          <w:szCs w:val="21"/>
          <w:highlight w:val="none"/>
        </w:rPr>
      </w:pPr>
    </w:p>
    <w:p w14:paraId="2004016F">
      <w:pPr>
        <w:spacing w:afterLines="50"/>
        <w:ind w:firstLine="2545" w:firstLineChars="795"/>
        <w:rPr>
          <w:rFonts w:ascii="微软雅黑" w:hAnsi="微软雅黑" w:eastAsia="微软雅黑"/>
          <w:b/>
          <w:color w:val="auto"/>
          <w:sz w:val="32"/>
          <w:szCs w:val="21"/>
          <w:highlight w:val="none"/>
        </w:rPr>
      </w:pPr>
      <w:r>
        <w:rPr>
          <w:rFonts w:hint="eastAsia" w:ascii="微软雅黑" w:hAnsi="微软雅黑" w:eastAsia="微软雅黑"/>
          <w:b/>
          <w:color w:val="auto"/>
          <w:sz w:val="32"/>
          <w:szCs w:val="21"/>
          <w:highlight w:val="none"/>
        </w:rPr>
        <w:t>供应商：</w:t>
      </w:r>
      <w:r>
        <w:rPr>
          <w:rFonts w:hint="eastAsia" w:ascii="微软雅黑" w:hAnsi="微软雅黑" w:eastAsia="微软雅黑"/>
          <w:b/>
          <w:color w:val="auto"/>
          <w:sz w:val="32"/>
          <w:highlight w:val="none"/>
          <w:u w:val="single"/>
        </w:rPr>
        <w:t xml:space="preserve">                 </w:t>
      </w:r>
    </w:p>
    <w:p w14:paraId="3F8EA8AD">
      <w:pPr>
        <w:spacing w:beforeLines="50" w:beforeAutospacing="1" w:afterLines="30" w:afterAutospacing="1" w:line="360" w:lineRule="auto"/>
        <w:jc w:val="center"/>
        <w:rPr>
          <w:rFonts w:ascii="微软雅黑" w:hAnsi="微软雅黑" w:eastAsia="微软雅黑"/>
          <w:b/>
          <w:color w:val="auto"/>
          <w:sz w:val="32"/>
          <w:szCs w:val="21"/>
          <w:highlight w:val="none"/>
        </w:rPr>
        <w:sectPr>
          <w:footerReference r:id="rId23" w:type="first"/>
          <w:footerReference r:id="rId22" w:type="default"/>
          <w:pgSz w:w="11906" w:h="16838"/>
          <w:pgMar w:top="1440" w:right="1106" w:bottom="1440" w:left="1797" w:header="851" w:footer="992" w:gutter="0"/>
          <w:pgNumType w:fmt="decimal" w:start="1"/>
          <w:cols w:space="720" w:num="1"/>
          <w:titlePg/>
          <w:docGrid w:linePitch="312" w:charSpace="0"/>
        </w:sectPr>
      </w:pPr>
      <w:r>
        <w:rPr>
          <w:rFonts w:hint="eastAsia" w:ascii="微软雅黑" w:hAnsi="微软雅黑" w:eastAsia="微软雅黑"/>
          <w:b/>
          <w:color w:val="auto"/>
          <w:sz w:val="32"/>
          <w:szCs w:val="21"/>
          <w:highlight w:val="none"/>
        </w:rPr>
        <w:t xml:space="preserve">   </w:t>
      </w:r>
      <w:r>
        <w:rPr>
          <w:rFonts w:hint="eastAsia" w:ascii="微软雅黑" w:hAnsi="微软雅黑" w:eastAsia="微软雅黑"/>
          <w:b/>
          <w:color w:val="auto"/>
          <w:sz w:val="32"/>
          <w:szCs w:val="21"/>
          <w:highlight w:val="none"/>
          <w:u w:val="single"/>
        </w:rPr>
        <w:t xml:space="preserve">       </w:t>
      </w:r>
      <w:r>
        <w:rPr>
          <w:rFonts w:hint="eastAsia" w:ascii="微软雅黑" w:hAnsi="微软雅黑" w:eastAsia="微软雅黑"/>
          <w:b/>
          <w:color w:val="auto"/>
          <w:sz w:val="32"/>
          <w:szCs w:val="21"/>
          <w:highlight w:val="none"/>
        </w:rPr>
        <w:t>年</w:t>
      </w:r>
      <w:r>
        <w:rPr>
          <w:rFonts w:hint="eastAsia" w:ascii="微软雅黑" w:hAnsi="微软雅黑" w:eastAsia="微软雅黑"/>
          <w:b/>
          <w:color w:val="auto"/>
          <w:sz w:val="32"/>
          <w:szCs w:val="21"/>
          <w:highlight w:val="none"/>
          <w:u w:val="single"/>
        </w:rPr>
        <w:t xml:space="preserve">   </w:t>
      </w:r>
      <w:r>
        <w:rPr>
          <w:rFonts w:hint="eastAsia" w:ascii="微软雅黑" w:hAnsi="微软雅黑" w:eastAsia="微软雅黑"/>
          <w:b/>
          <w:color w:val="auto"/>
          <w:sz w:val="32"/>
          <w:szCs w:val="21"/>
          <w:highlight w:val="none"/>
        </w:rPr>
        <w:t>月</w:t>
      </w:r>
      <w:r>
        <w:rPr>
          <w:rFonts w:hint="eastAsia" w:ascii="微软雅黑" w:hAnsi="微软雅黑" w:eastAsia="微软雅黑"/>
          <w:b/>
          <w:color w:val="auto"/>
          <w:sz w:val="32"/>
          <w:szCs w:val="21"/>
          <w:highlight w:val="none"/>
          <w:u w:val="single"/>
        </w:rPr>
        <w:t xml:space="preserve">   </w:t>
      </w:r>
      <w:r>
        <w:rPr>
          <w:rFonts w:hint="eastAsia" w:ascii="微软雅黑" w:hAnsi="微软雅黑" w:eastAsia="微软雅黑"/>
          <w:b/>
          <w:color w:val="auto"/>
          <w:sz w:val="32"/>
          <w:szCs w:val="21"/>
          <w:highlight w:val="none"/>
        </w:rPr>
        <w:t>日</w:t>
      </w:r>
    </w:p>
    <w:p w14:paraId="194F227F">
      <w:pPr>
        <w:rPr>
          <w:rFonts w:hint="eastAsia" w:ascii="宋体" w:hAnsi="宋体" w:cs="宋体"/>
          <w:b/>
          <w:bCs/>
          <w:color w:val="auto"/>
          <w:sz w:val="52"/>
          <w:szCs w:val="52"/>
          <w:highlight w:val="none"/>
        </w:rPr>
      </w:pPr>
      <w:r>
        <w:rPr>
          <w:rFonts w:hint="eastAsia" w:ascii="宋体" w:hAnsi="宋体" w:cs="宋体"/>
          <w:b/>
          <w:bCs/>
          <w:color w:val="auto"/>
          <w:sz w:val="52"/>
          <w:szCs w:val="52"/>
          <w:highlight w:val="none"/>
        </w:rPr>
        <w:br w:type="page"/>
      </w:r>
    </w:p>
    <w:p w14:paraId="61136F7F">
      <w:pPr>
        <w:tabs>
          <w:tab w:val="left" w:pos="0"/>
        </w:tabs>
        <w:jc w:val="center"/>
        <w:rPr>
          <w:rFonts w:ascii="宋体" w:hAnsi="宋体" w:cs="宋体"/>
          <w:b/>
          <w:bCs/>
          <w:color w:val="auto"/>
          <w:sz w:val="52"/>
          <w:szCs w:val="52"/>
          <w:highlight w:val="none"/>
        </w:rPr>
      </w:pPr>
      <w:r>
        <w:rPr>
          <w:rFonts w:hint="eastAsia" w:ascii="宋体" w:hAnsi="宋体" w:cs="宋体"/>
          <w:b/>
          <w:bCs/>
          <w:color w:val="auto"/>
          <w:sz w:val="52"/>
          <w:szCs w:val="52"/>
          <w:highlight w:val="none"/>
        </w:rPr>
        <w:t>目  录</w:t>
      </w:r>
    </w:p>
    <w:p w14:paraId="0990204E">
      <w:pPr>
        <w:tabs>
          <w:tab w:val="left" w:pos="0"/>
        </w:tabs>
        <w:jc w:val="center"/>
        <w:rPr>
          <w:rFonts w:ascii="宋体" w:hAnsi="宋体" w:cs="宋体"/>
          <w:b/>
          <w:bCs/>
          <w:color w:val="auto"/>
          <w:sz w:val="52"/>
          <w:szCs w:val="52"/>
          <w:highlight w:val="none"/>
        </w:rPr>
      </w:pPr>
    </w:p>
    <w:p w14:paraId="4901A6EC">
      <w:pPr>
        <w:pStyle w:val="11"/>
        <w:tabs>
          <w:tab w:val="right" w:leader="dot" w:pos="9003"/>
        </w:tabs>
        <w:rPr>
          <w:color w:val="auto"/>
          <w:highlight w:val="none"/>
        </w:rPr>
      </w:pPr>
      <w:r>
        <w:rPr>
          <w:rFonts w:ascii="微软雅黑" w:hAnsi="微软雅黑" w:eastAsia="微软雅黑"/>
          <w:b/>
          <w:color w:val="auto"/>
          <w:sz w:val="32"/>
          <w:szCs w:val="21"/>
          <w:highlight w:val="none"/>
        </w:rPr>
        <w:fldChar w:fldCharType="begin"/>
      </w:r>
      <w:r>
        <w:rPr>
          <w:rFonts w:ascii="微软雅黑" w:hAnsi="微软雅黑" w:eastAsia="微软雅黑"/>
          <w:b/>
          <w:color w:val="auto"/>
          <w:sz w:val="32"/>
          <w:szCs w:val="21"/>
          <w:highlight w:val="none"/>
        </w:rPr>
        <w:instrText xml:space="preserve"> TOC \o "1-3" \h \z \u </w:instrText>
      </w:r>
      <w:r>
        <w:rPr>
          <w:rFonts w:hint="eastAsia" w:ascii="微软雅黑" w:hAnsi="微软雅黑" w:eastAsia="微软雅黑"/>
          <w:b/>
          <w:color w:val="auto"/>
          <w:sz w:val="32"/>
          <w:szCs w:val="21"/>
          <w:highlight w:val="none"/>
        </w:rPr>
        <w:instrText xml:space="preserve">\b char2</w:instrText>
      </w:r>
      <w:r>
        <w:rPr>
          <w:rFonts w:ascii="微软雅黑" w:hAnsi="微软雅黑" w:eastAsia="微软雅黑"/>
          <w:b/>
          <w:color w:val="auto"/>
          <w:sz w:val="32"/>
          <w:szCs w:val="21"/>
          <w:highlight w:val="none"/>
        </w:rPr>
        <w:fldChar w:fldCharType="separate"/>
      </w:r>
      <w:r>
        <w:rPr>
          <w:color w:val="auto"/>
          <w:highlight w:val="none"/>
        </w:rPr>
        <w:fldChar w:fldCharType="begin"/>
      </w:r>
      <w:r>
        <w:rPr>
          <w:color w:val="auto"/>
          <w:highlight w:val="none"/>
        </w:rPr>
        <w:instrText xml:space="preserve"> HYPERLINK \l "_Toc8910" </w:instrText>
      </w:r>
      <w:r>
        <w:rPr>
          <w:color w:val="auto"/>
          <w:highlight w:val="none"/>
        </w:rPr>
        <w:fldChar w:fldCharType="separate"/>
      </w:r>
      <w:r>
        <w:rPr>
          <w:rFonts w:ascii="微软雅黑" w:hAnsi="微软雅黑" w:eastAsia="微软雅黑"/>
          <w:color w:val="auto"/>
          <w:szCs w:val="36"/>
          <w:highlight w:val="none"/>
        </w:rPr>
        <w:t xml:space="preserve">一、 </w:t>
      </w:r>
      <w:r>
        <w:rPr>
          <w:rFonts w:hint="eastAsia" w:ascii="微软雅黑" w:hAnsi="微软雅黑" w:eastAsia="微软雅黑"/>
          <w:color w:val="auto"/>
          <w:szCs w:val="36"/>
          <w:highlight w:val="none"/>
        </w:rPr>
        <w:t>比选响应函*</w:t>
      </w:r>
      <w:r>
        <w:rPr>
          <w:color w:val="auto"/>
          <w:highlight w:val="none"/>
        </w:rPr>
        <w:tab/>
      </w:r>
      <w:r>
        <w:rPr>
          <w:color w:val="auto"/>
          <w:highlight w:val="none"/>
        </w:rPr>
        <w:fldChar w:fldCharType="begin"/>
      </w:r>
      <w:r>
        <w:rPr>
          <w:color w:val="auto"/>
          <w:highlight w:val="none"/>
        </w:rPr>
        <w:instrText xml:space="preserve"> PAGEREF _Toc8910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5128A391">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"_Toc30470" </w:instrText>
      </w:r>
      <w:r>
        <w:rPr>
          <w:color w:val="auto"/>
          <w:highlight w:val="none"/>
        </w:rPr>
        <w:fldChar w:fldCharType="separate"/>
      </w:r>
      <w:r>
        <w:rPr>
          <w:rFonts w:ascii="微软雅黑" w:hAnsi="微软雅黑" w:eastAsia="微软雅黑"/>
          <w:color w:val="auto"/>
          <w:szCs w:val="36"/>
          <w:highlight w:val="none"/>
        </w:rPr>
        <w:t xml:space="preserve">二、 </w:t>
      </w:r>
      <w:r>
        <w:rPr>
          <w:rFonts w:hint="eastAsia" w:ascii="微软雅黑" w:hAnsi="微软雅黑" w:eastAsia="微软雅黑"/>
          <w:color w:val="auto"/>
          <w:szCs w:val="36"/>
          <w:highlight w:val="none"/>
        </w:rPr>
        <w:t>报价表*</w:t>
      </w:r>
      <w:r>
        <w:rPr>
          <w:color w:val="auto"/>
          <w:highlight w:val="none"/>
        </w:rPr>
        <w:tab/>
      </w:r>
      <w:r>
        <w:rPr>
          <w:color w:val="auto"/>
          <w:highlight w:val="none"/>
        </w:rPr>
        <w:fldChar w:fldCharType="begin"/>
      </w:r>
      <w:r>
        <w:rPr>
          <w:color w:val="auto"/>
          <w:highlight w:val="none"/>
        </w:rPr>
        <w:instrText xml:space="preserve"> PAGEREF _Toc30470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6C002A42">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"_Toc11305" </w:instrText>
      </w:r>
      <w:r>
        <w:rPr>
          <w:color w:val="auto"/>
          <w:highlight w:val="none"/>
        </w:rPr>
        <w:fldChar w:fldCharType="separate"/>
      </w:r>
      <w:r>
        <w:rPr>
          <w:rFonts w:ascii="微软雅黑" w:hAnsi="微软雅黑" w:eastAsia="微软雅黑"/>
          <w:color w:val="auto"/>
          <w:szCs w:val="36"/>
          <w:highlight w:val="none"/>
        </w:rPr>
        <w:t xml:space="preserve">三、 </w:t>
      </w:r>
      <w:r>
        <w:rPr>
          <w:rFonts w:hint="eastAsia" w:ascii="微软雅黑" w:hAnsi="微软雅黑" w:eastAsia="微软雅黑"/>
          <w:color w:val="auto"/>
          <w:szCs w:val="36"/>
          <w:highlight w:val="none"/>
        </w:rPr>
        <w:t>服务规格响应/偏离表*</w:t>
      </w:r>
      <w:r>
        <w:rPr>
          <w:color w:val="auto"/>
          <w:highlight w:val="none"/>
        </w:rPr>
        <w:tab/>
      </w:r>
      <w:r>
        <w:rPr>
          <w:color w:val="auto"/>
          <w:highlight w:val="none"/>
        </w:rPr>
        <w:fldChar w:fldCharType="begin"/>
      </w:r>
      <w:r>
        <w:rPr>
          <w:color w:val="auto"/>
          <w:highlight w:val="none"/>
        </w:rPr>
        <w:instrText xml:space="preserve"> PAGEREF _Toc11305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3151CC62">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"_Toc8076" </w:instrText>
      </w:r>
      <w:r>
        <w:rPr>
          <w:color w:val="auto"/>
          <w:highlight w:val="none"/>
        </w:rPr>
        <w:fldChar w:fldCharType="separate"/>
      </w:r>
      <w:r>
        <w:rPr>
          <w:rFonts w:ascii="微软雅黑" w:hAnsi="微软雅黑" w:eastAsia="微软雅黑"/>
          <w:color w:val="auto"/>
          <w:szCs w:val="36"/>
          <w:highlight w:val="none"/>
        </w:rPr>
        <w:t xml:space="preserve">四、 </w:t>
      </w:r>
      <w:r>
        <w:rPr>
          <w:rFonts w:hint="eastAsia" w:ascii="微软雅黑" w:hAnsi="微软雅黑" w:eastAsia="微软雅黑"/>
          <w:color w:val="auto"/>
          <w:szCs w:val="36"/>
          <w:highlight w:val="none"/>
        </w:rPr>
        <w:t>商务条款响应/偏离表*</w:t>
      </w:r>
      <w:r>
        <w:rPr>
          <w:color w:val="auto"/>
          <w:highlight w:val="none"/>
        </w:rPr>
        <w:tab/>
      </w:r>
      <w:r>
        <w:rPr>
          <w:color w:val="auto"/>
          <w:highlight w:val="none"/>
        </w:rPr>
        <w:fldChar w:fldCharType="begin"/>
      </w:r>
      <w:r>
        <w:rPr>
          <w:color w:val="auto"/>
          <w:highlight w:val="none"/>
        </w:rPr>
        <w:instrText xml:space="preserve"> PAGEREF _Toc8076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6526D346">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"_Toc21617" </w:instrText>
      </w:r>
      <w:r>
        <w:rPr>
          <w:color w:val="auto"/>
          <w:highlight w:val="none"/>
        </w:rPr>
        <w:fldChar w:fldCharType="separate"/>
      </w:r>
      <w:r>
        <w:rPr>
          <w:rFonts w:ascii="微软雅黑" w:hAnsi="微软雅黑" w:eastAsia="微软雅黑"/>
          <w:color w:val="auto"/>
          <w:szCs w:val="36"/>
          <w:highlight w:val="none"/>
        </w:rPr>
        <w:t xml:space="preserve">五、 </w:t>
      </w:r>
      <w:r>
        <w:rPr>
          <w:rFonts w:hint="eastAsia" w:ascii="微软雅黑" w:hAnsi="微软雅黑" w:eastAsia="微软雅黑"/>
          <w:color w:val="auto"/>
          <w:szCs w:val="36"/>
          <w:highlight w:val="none"/>
        </w:rPr>
        <w:t>法定代表人授权书*</w:t>
      </w:r>
      <w:r>
        <w:rPr>
          <w:color w:val="auto"/>
          <w:highlight w:val="none"/>
        </w:rPr>
        <w:tab/>
      </w:r>
      <w:r>
        <w:rPr>
          <w:color w:val="auto"/>
          <w:highlight w:val="none"/>
        </w:rPr>
        <w:fldChar w:fldCharType="begin"/>
      </w:r>
      <w:r>
        <w:rPr>
          <w:color w:val="auto"/>
          <w:highlight w:val="none"/>
        </w:rPr>
        <w:instrText xml:space="preserve"> PAGEREF _Toc21617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0B32D2B4">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"_Toc29254" </w:instrText>
      </w:r>
      <w:r>
        <w:rPr>
          <w:color w:val="auto"/>
          <w:highlight w:val="none"/>
        </w:rPr>
        <w:fldChar w:fldCharType="separate"/>
      </w:r>
      <w:r>
        <w:rPr>
          <w:rFonts w:ascii="微软雅黑" w:hAnsi="微软雅黑" w:eastAsia="微软雅黑"/>
          <w:color w:val="auto"/>
          <w:szCs w:val="36"/>
          <w:highlight w:val="none"/>
        </w:rPr>
        <w:t xml:space="preserve">六、 </w:t>
      </w:r>
      <w:r>
        <w:rPr>
          <w:rFonts w:hint="eastAsia" w:ascii="微软雅黑" w:hAnsi="微软雅黑" w:eastAsia="微软雅黑"/>
          <w:color w:val="auto"/>
          <w:szCs w:val="36"/>
          <w:highlight w:val="none"/>
        </w:rPr>
        <w:t>资格证明文件*</w:t>
      </w:r>
      <w:r>
        <w:rPr>
          <w:color w:val="auto"/>
          <w:highlight w:val="none"/>
        </w:rPr>
        <w:tab/>
      </w:r>
      <w:r>
        <w:rPr>
          <w:color w:val="auto"/>
          <w:highlight w:val="none"/>
        </w:rPr>
        <w:fldChar w:fldCharType="begin"/>
      </w:r>
      <w:r>
        <w:rPr>
          <w:color w:val="auto"/>
          <w:highlight w:val="none"/>
        </w:rPr>
        <w:instrText xml:space="preserve"> PAGEREF _Toc29254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52909012">
      <w:pPr>
        <w:pStyle w:val="11"/>
        <w:tabs>
          <w:tab w:val="right" w:leader="dot" w:pos="9003"/>
        </w:tabs>
        <w:rPr>
          <w:color w:val="auto"/>
          <w:highlight w:val="none"/>
        </w:rPr>
      </w:pPr>
      <w:r>
        <w:rPr>
          <w:color w:val="auto"/>
          <w:highlight w:val="none"/>
        </w:rPr>
        <w:fldChar w:fldCharType="begin"/>
      </w:r>
      <w:r>
        <w:rPr>
          <w:color w:val="auto"/>
          <w:highlight w:val="none"/>
        </w:rPr>
        <w:instrText xml:space="preserve"> HYPERLINK \l "_Toc26155" </w:instrText>
      </w:r>
      <w:r>
        <w:rPr>
          <w:color w:val="auto"/>
          <w:highlight w:val="none"/>
        </w:rPr>
        <w:fldChar w:fldCharType="separate"/>
      </w:r>
      <w:r>
        <w:rPr>
          <w:rFonts w:ascii="微软雅黑" w:hAnsi="微软雅黑" w:eastAsia="微软雅黑"/>
          <w:color w:val="auto"/>
          <w:szCs w:val="36"/>
          <w:highlight w:val="none"/>
        </w:rPr>
        <w:t xml:space="preserve">七、 </w:t>
      </w:r>
      <w:r>
        <w:rPr>
          <w:rFonts w:hint="eastAsia" w:ascii="微软雅黑" w:hAnsi="微软雅黑" w:eastAsia="微软雅黑"/>
          <w:color w:val="auto"/>
          <w:szCs w:val="36"/>
          <w:highlight w:val="none"/>
        </w:rPr>
        <w:t>其它材料</w:t>
      </w:r>
      <w:r>
        <w:rPr>
          <w:color w:val="auto"/>
          <w:highlight w:val="none"/>
        </w:rPr>
        <w:tab/>
      </w:r>
      <w:r>
        <w:rPr>
          <w:color w:val="auto"/>
          <w:highlight w:val="none"/>
        </w:rPr>
        <w:fldChar w:fldCharType="begin"/>
      </w:r>
      <w:r>
        <w:rPr>
          <w:color w:val="auto"/>
          <w:highlight w:val="none"/>
        </w:rPr>
        <w:instrText xml:space="preserve"> PAGEREF _Toc26155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0B852AB9">
      <w:pPr>
        <w:spacing w:beforeLines="50" w:beforeAutospacing="1" w:afterLines="30" w:afterAutospacing="1" w:line="360" w:lineRule="auto"/>
        <w:jc w:val="center"/>
        <w:rPr>
          <w:rFonts w:ascii="微软雅黑" w:hAnsi="微软雅黑" w:eastAsia="微软雅黑"/>
          <w:b/>
          <w:color w:val="auto"/>
          <w:sz w:val="32"/>
          <w:szCs w:val="21"/>
          <w:highlight w:val="none"/>
        </w:rPr>
        <w:sectPr>
          <w:headerReference r:id="rId24" w:type="first"/>
          <w:footerReference r:id="rId25" w:type="first"/>
          <w:type w:val="continuous"/>
          <w:pgSz w:w="11906" w:h="16838"/>
          <w:pgMar w:top="1440" w:right="1106" w:bottom="1440" w:left="1797" w:header="851" w:footer="992" w:gutter="0"/>
          <w:pgNumType w:fmt="decimal"/>
          <w:cols w:space="720" w:num="1"/>
          <w:titlePg/>
          <w:docGrid w:linePitch="312" w:charSpace="0"/>
        </w:sectPr>
      </w:pPr>
      <w:r>
        <w:rPr>
          <w:rFonts w:ascii="微软雅黑" w:hAnsi="微软雅黑" w:eastAsia="微软雅黑"/>
          <w:color w:val="auto"/>
          <w:szCs w:val="21"/>
          <w:highlight w:val="none"/>
        </w:rPr>
        <w:fldChar w:fldCharType="end"/>
      </w:r>
    </w:p>
    <w:p w14:paraId="2059E235">
      <w:pPr>
        <w:pStyle w:val="4"/>
        <w:numPr>
          <w:ilvl w:val="0"/>
          <w:numId w:val="5"/>
        </w:numPr>
        <w:spacing w:line="360" w:lineRule="auto"/>
        <w:rPr>
          <w:rFonts w:ascii="微软雅黑" w:hAnsi="微软雅黑" w:eastAsia="微软雅黑"/>
          <w:color w:val="auto"/>
          <w:sz w:val="36"/>
          <w:szCs w:val="36"/>
          <w:highlight w:val="none"/>
        </w:rPr>
      </w:pPr>
      <w:bookmarkStart w:id="166" w:name="_Toc8910"/>
      <w:bookmarkStart w:id="167" w:name="_Toc8377125"/>
      <w:bookmarkStart w:id="168" w:name="_Toc178705054"/>
      <w:bookmarkStart w:id="169" w:name="_Toc182285110"/>
      <w:bookmarkStart w:id="170" w:name="char2"/>
      <w:r>
        <w:rPr>
          <w:rFonts w:hint="eastAsia" w:ascii="微软雅黑" w:hAnsi="微软雅黑" w:eastAsia="微软雅黑"/>
          <w:color w:val="auto"/>
          <w:sz w:val="36"/>
          <w:szCs w:val="36"/>
          <w:highlight w:val="none"/>
        </w:rPr>
        <w:t>比选响应函*</w:t>
      </w:r>
      <w:bookmarkEnd w:id="166"/>
      <w:bookmarkEnd w:id="167"/>
    </w:p>
    <w:p w14:paraId="03AFC954">
      <w:pPr>
        <w:spacing w:line="360" w:lineRule="auto"/>
        <w:rPr>
          <w:rFonts w:hint="eastAsia" w:ascii="微软雅黑" w:hAnsi="微软雅黑" w:eastAsia="微软雅黑"/>
          <w:b/>
          <w:color w:val="auto"/>
          <w:sz w:val="28"/>
          <w:szCs w:val="28"/>
          <w:highlight w:val="none"/>
          <w:lang w:eastAsia="zh-CN"/>
        </w:rPr>
      </w:pPr>
      <w:r>
        <w:rPr>
          <w:rFonts w:hint="eastAsia" w:ascii="微软雅黑" w:hAnsi="微软雅黑" w:eastAsia="微软雅黑"/>
          <w:b/>
          <w:color w:val="auto"/>
          <w:sz w:val="28"/>
          <w:szCs w:val="28"/>
          <w:highlight w:val="none"/>
        </w:rPr>
        <w:t>致：</w:t>
      </w:r>
      <w:r>
        <w:rPr>
          <w:rFonts w:hint="eastAsia" w:ascii="微软雅黑" w:hAnsi="微软雅黑" w:eastAsia="微软雅黑"/>
          <w:b/>
          <w:color w:val="auto"/>
          <w:sz w:val="28"/>
          <w:szCs w:val="28"/>
          <w:highlight w:val="none"/>
          <w:lang w:eastAsia="zh-CN"/>
        </w:rPr>
        <w:t>南昌市晨晖招投标咨询服务有限公司</w:t>
      </w:r>
    </w:p>
    <w:p w14:paraId="6688202A">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根据贵方为(</w:t>
      </w:r>
      <w:r>
        <w:rPr>
          <w:rFonts w:hint="eastAsia" w:ascii="微软雅黑" w:hAnsi="微软雅黑" w:eastAsia="微软雅黑"/>
          <w:color w:val="auto"/>
          <w:sz w:val="24"/>
          <w:szCs w:val="24"/>
          <w:highlight w:val="none"/>
          <w:u w:val="single"/>
        </w:rPr>
        <w:t>项目名称</w:t>
      </w:r>
      <w:r>
        <w:rPr>
          <w:rFonts w:hint="eastAsia" w:ascii="微软雅黑" w:hAnsi="微软雅黑" w:eastAsia="微软雅黑"/>
          <w:color w:val="auto"/>
          <w:sz w:val="24"/>
          <w:szCs w:val="24"/>
          <w:highlight w:val="none"/>
        </w:rPr>
        <w:t>)项目比选采购相关服务的投标邀请(</w:t>
      </w:r>
      <w:r>
        <w:rPr>
          <w:rFonts w:hint="eastAsia" w:ascii="微软雅黑" w:hAnsi="微软雅黑" w:eastAsia="微软雅黑"/>
          <w:color w:val="auto"/>
          <w:sz w:val="24"/>
          <w:szCs w:val="24"/>
          <w:highlight w:val="none"/>
          <w:u w:val="single"/>
        </w:rPr>
        <w:t>项目编号</w:t>
      </w:r>
      <w:r>
        <w:rPr>
          <w:rFonts w:hint="eastAsia" w:ascii="微软雅黑" w:hAnsi="微软雅黑" w:eastAsia="微软雅黑"/>
          <w:color w:val="auto"/>
          <w:sz w:val="24"/>
          <w:szCs w:val="24"/>
          <w:highlight w:val="none"/>
        </w:rPr>
        <w:t>)，签字代表(</w:t>
      </w:r>
      <w:r>
        <w:rPr>
          <w:rFonts w:hint="eastAsia" w:ascii="微软雅黑" w:hAnsi="微软雅黑" w:eastAsia="微软雅黑"/>
          <w:color w:val="auto"/>
          <w:sz w:val="24"/>
          <w:szCs w:val="24"/>
          <w:highlight w:val="none"/>
          <w:u w:val="single"/>
        </w:rPr>
        <w:t>姓名、职务</w:t>
      </w:r>
      <w:r>
        <w:rPr>
          <w:rFonts w:hint="eastAsia" w:ascii="微软雅黑" w:hAnsi="微软雅黑" w:eastAsia="微软雅黑"/>
          <w:color w:val="auto"/>
          <w:sz w:val="24"/>
          <w:szCs w:val="24"/>
          <w:highlight w:val="none"/>
        </w:rPr>
        <w:t>)经正式授权并代表投标人</w:t>
      </w:r>
      <w:r>
        <w:rPr>
          <w:rFonts w:hint="eastAsia" w:ascii="微软雅黑" w:hAnsi="微软雅黑" w:eastAsia="微软雅黑"/>
          <w:color w:val="auto"/>
          <w:sz w:val="24"/>
          <w:szCs w:val="24"/>
          <w:highlight w:val="none"/>
          <w:u w:val="single"/>
        </w:rPr>
        <w:t>(投标人名称、地址)</w:t>
      </w:r>
      <w:r>
        <w:rPr>
          <w:rFonts w:hint="eastAsia" w:ascii="微软雅黑" w:hAnsi="微软雅黑" w:eastAsia="微软雅黑"/>
          <w:color w:val="auto"/>
          <w:sz w:val="24"/>
          <w:szCs w:val="24"/>
          <w:highlight w:val="none"/>
        </w:rPr>
        <w:t>提交下述文件:</w:t>
      </w:r>
    </w:p>
    <w:p w14:paraId="4E5A8FD2">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 开标一览表</w:t>
      </w:r>
    </w:p>
    <w:p w14:paraId="5FC7714D">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 明细表</w:t>
      </w:r>
    </w:p>
    <w:p w14:paraId="642C59C4">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 服务要求响应/偏离表</w:t>
      </w:r>
    </w:p>
    <w:p w14:paraId="6015B1FA">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 商务条款响应/偏离表</w:t>
      </w:r>
    </w:p>
    <w:p w14:paraId="38926E2E">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 按比选文件供应商须知和服务要求提供的有关文件</w:t>
      </w:r>
    </w:p>
    <w:p w14:paraId="7E058EF6">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 资格证明文件</w:t>
      </w:r>
    </w:p>
    <w:p w14:paraId="19EAB297">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7. 提交的比选保证金，金额为</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w:t>
      </w:r>
    </w:p>
    <w:p w14:paraId="02B9ECC6">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据此函,签字代表宣布同意如下:</w:t>
      </w:r>
    </w:p>
    <w:p w14:paraId="214E47F2">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 投标人将按比选文件的规定履行合同责任和义务。</w:t>
      </w:r>
    </w:p>
    <w:p w14:paraId="0FDAD135">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 投标人已详细审查全部比选文件（包括发出的书面函件和公告通知），我们完全理解并同意放弃对这方面有不明及误解的权力。</w:t>
      </w:r>
    </w:p>
    <w:p w14:paraId="526C0C3F">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 本投标有效期为自开标日起</w:t>
      </w:r>
      <w:r>
        <w:rPr>
          <w:rFonts w:hint="eastAsia" w:ascii="微软雅黑" w:hAnsi="微软雅黑" w:eastAsia="微软雅黑"/>
          <w:color w:val="auto"/>
          <w:sz w:val="24"/>
          <w:szCs w:val="24"/>
          <w:highlight w:val="none"/>
          <w:u w:val="single"/>
        </w:rPr>
        <w:t xml:space="preserve">      90       </w:t>
      </w:r>
      <w:r>
        <w:rPr>
          <w:rFonts w:hint="eastAsia" w:ascii="微软雅黑" w:hAnsi="微软雅黑" w:eastAsia="微软雅黑"/>
          <w:color w:val="auto"/>
          <w:sz w:val="24"/>
          <w:szCs w:val="24"/>
          <w:highlight w:val="none"/>
        </w:rPr>
        <w:t>天。</w:t>
      </w:r>
    </w:p>
    <w:p w14:paraId="4CB12C44">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 如果在规定的开标时间后，投标人在投标有效期内撤回投标，其比选保证金贵方将不予退还。</w:t>
      </w:r>
    </w:p>
    <w:p w14:paraId="7CFEEE0B">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 投标人同意提供按照贵方可能要求的与其投标有关的一切数据或资料。</w:t>
      </w:r>
    </w:p>
    <w:p w14:paraId="0A6CF154">
      <w:pPr>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6.</w:t>
      </w:r>
      <w:r>
        <w:rPr>
          <w:rFonts w:hint="eastAsia" w:ascii="微软雅黑" w:hAnsi="微软雅黑" w:eastAsia="微软雅黑"/>
          <w:color w:val="auto"/>
          <w:sz w:val="24"/>
          <w:szCs w:val="24"/>
          <w:highlight w:val="none"/>
        </w:rPr>
        <w:t>我单位负责人为同一人或者存在直接控股、管理关系的不同投标人，未同时参加本项目投标，以非联合体形式参与比选。</w:t>
      </w:r>
    </w:p>
    <w:p w14:paraId="6093FB29">
      <w:pPr>
        <w:spacing w:line="480" w:lineRule="exact"/>
        <w:ind w:firstLine="540" w:firstLineChars="225"/>
        <w:rPr>
          <w:rFonts w:ascii="微软雅黑" w:hAnsi="微软雅黑" w:eastAsia="微软雅黑"/>
          <w:color w:val="auto"/>
          <w:sz w:val="24"/>
          <w:szCs w:val="24"/>
          <w:highlight w:val="none"/>
        </w:rPr>
      </w:pPr>
    </w:p>
    <w:p w14:paraId="5A7C1A24">
      <w:pPr>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7</w:t>
      </w:r>
      <w:r>
        <w:rPr>
          <w:rFonts w:hint="eastAsia" w:ascii="微软雅黑" w:hAnsi="微软雅黑" w:eastAsia="微软雅黑"/>
          <w:color w:val="auto"/>
          <w:sz w:val="24"/>
          <w:szCs w:val="24"/>
          <w:highlight w:val="none"/>
        </w:rPr>
        <w:t>. 与本投标有关的一切正式往来信函请寄:</w:t>
      </w:r>
    </w:p>
    <w:p w14:paraId="3B67137C">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 xml:space="preserve">    传真</w:t>
      </w:r>
      <w:r>
        <w:rPr>
          <w:rFonts w:hint="eastAsia" w:ascii="微软雅黑" w:hAnsi="微软雅黑" w:eastAsia="微软雅黑"/>
          <w:color w:val="auto"/>
          <w:sz w:val="24"/>
          <w:szCs w:val="24"/>
          <w:highlight w:val="none"/>
          <w:u w:val="single"/>
        </w:rPr>
        <w:t xml:space="preserve">                              </w:t>
      </w:r>
    </w:p>
    <w:p w14:paraId="59B48908">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电话</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 xml:space="preserve">    电子邮件</w:t>
      </w:r>
      <w:r>
        <w:rPr>
          <w:rFonts w:hint="eastAsia" w:ascii="微软雅黑" w:hAnsi="微软雅黑" w:eastAsia="微软雅黑"/>
          <w:color w:val="auto"/>
          <w:sz w:val="24"/>
          <w:szCs w:val="24"/>
          <w:highlight w:val="none"/>
          <w:u w:val="single"/>
        </w:rPr>
        <w:t xml:space="preserve">                          </w:t>
      </w:r>
    </w:p>
    <w:p w14:paraId="1AA5B14D">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保证金转出银行名称</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 xml:space="preserve">    账号</w:t>
      </w:r>
      <w:r>
        <w:rPr>
          <w:rFonts w:hint="eastAsia" w:ascii="微软雅黑" w:hAnsi="微软雅黑" w:eastAsia="微软雅黑"/>
          <w:color w:val="auto"/>
          <w:sz w:val="24"/>
          <w:szCs w:val="24"/>
          <w:highlight w:val="none"/>
          <w:u w:val="single"/>
        </w:rPr>
        <w:t xml:space="preserve">                              </w:t>
      </w:r>
    </w:p>
    <w:p w14:paraId="7F2C63F0">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投标人代表签字</w:t>
      </w:r>
      <w:r>
        <w:rPr>
          <w:rFonts w:hint="eastAsia" w:ascii="微软雅黑" w:hAnsi="微软雅黑" w:eastAsia="微软雅黑"/>
          <w:color w:val="auto"/>
          <w:sz w:val="24"/>
          <w:szCs w:val="24"/>
          <w:highlight w:val="none"/>
          <w:u w:val="single"/>
        </w:rPr>
        <w:t xml:space="preserve">                             </w:t>
      </w:r>
    </w:p>
    <w:p w14:paraId="6D847D4D">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投标人名称</w:t>
      </w:r>
      <w:r>
        <w:rPr>
          <w:rFonts w:hint="eastAsia" w:ascii="微软雅黑" w:hAnsi="微软雅黑" w:eastAsia="微软雅黑"/>
          <w:color w:val="auto"/>
          <w:sz w:val="24"/>
          <w:szCs w:val="24"/>
          <w:highlight w:val="none"/>
          <w:u w:val="single"/>
        </w:rPr>
        <w:t xml:space="preserve">                                 </w:t>
      </w:r>
    </w:p>
    <w:p w14:paraId="3162D094">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公章</w:t>
      </w:r>
      <w:r>
        <w:rPr>
          <w:rFonts w:hint="eastAsia" w:ascii="微软雅黑" w:hAnsi="微软雅黑" w:eastAsia="微软雅黑"/>
          <w:color w:val="auto"/>
          <w:sz w:val="24"/>
          <w:szCs w:val="24"/>
          <w:highlight w:val="none"/>
          <w:u w:val="single"/>
        </w:rPr>
        <w:t xml:space="preserve">                                       </w:t>
      </w:r>
    </w:p>
    <w:p w14:paraId="55A6D4B0">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日期</w:t>
      </w:r>
      <w:r>
        <w:rPr>
          <w:rFonts w:hint="eastAsia" w:ascii="微软雅黑" w:hAnsi="微软雅黑" w:eastAsia="微软雅黑"/>
          <w:color w:val="auto"/>
          <w:sz w:val="24"/>
          <w:szCs w:val="24"/>
          <w:highlight w:val="none"/>
          <w:u w:val="single"/>
        </w:rPr>
        <w:t xml:space="preserve">                                       </w:t>
      </w:r>
    </w:p>
    <w:p w14:paraId="75BF43B7">
      <w:pPr>
        <w:spacing w:line="360" w:lineRule="auto"/>
        <w:ind w:firstLine="540" w:firstLineChars="225"/>
        <w:rPr>
          <w:rFonts w:ascii="微软雅黑" w:hAnsi="微软雅黑" w:eastAsia="微软雅黑"/>
          <w:color w:val="auto"/>
          <w:sz w:val="24"/>
          <w:szCs w:val="24"/>
          <w:highlight w:val="none"/>
        </w:rPr>
        <w:sectPr>
          <w:headerReference r:id="rId27" w:type="first"/>
          <w:footerReference r:id="rId28" w:type="first"/>
          <w:headerReference r:id="rId26" w:type="default"/>
          <w:pgSz w:w="11906" w:h="16838"/>
          <w:pgMar w:top="1440" w:right="1106" w:bottom="1440" w:left="1797" w:header="851" w:footer="992" w:gutter="0"/>
          <w:pgNumType w:fmt="decimal"/>
          <w:cols w:space="720" w:num="1"/>
          <w:titlePg/>
          <w:docGrid w:linePitch="312" w:charSpace="0"/>
        </w:sectPr>
      </w:pPr>
      <w:r>
        <w:rPr>
          <w:rFonts w:hint="eastAsia" w:ascii="微软雅黑" w:hAnsi="微软雅黑" w:eastAsia="微软雅黑"/>
          <w:color w:val="auto"/>
          <w:sz w:val="24"/>
          <w:szCs w:val="24"/>
          <w:highlight w:val="none"/>
        </w:rPr>
        <w:t xml:space="preserve">    </w:t>
      </w:r>
    </w:p>
    <w:p w14:paraId="422344D1">
      <w:pPr>
        <w:pStyle w:val="4"/>
        <w:numPr>
          <w:ilvl w:val="0"/>
          <w:numId w:val="5"/>
        </w:numPr>
        <w:spacing w:before="0" w:after="0" w:line="276" w:lineRule="auto"/>
        <w:rPr>
          <w:rFonts w:ascii="微软雅黑" w:hAnsi="微软雅黑" w:eastAsia="微软雅黑"/>
          <w:color w:val="auto"/>
          <w:sz w:val="36"/>
          <w:szCs w:val="36"/>
          <w:highlight w:val="none"/>
        </w:rPr>
      </w:pPr>
      <w:bookmarkStart w:id="171" w:name="_Toc8377126"/>
      <w:bookmarkStart w:id="172" w:name="_Toc30470"/>
      <w:r>
        <w:rPr>
          <w:rFonts w:hint="eastAsia" w:ascii="微软雅黑" w:hAnsi="微软雅黑" w:eastAsia="微软雅黑"/>
          <w:color w:val="auto"/>
          <w:sz w:val="36"/>
          <w:szCs w:val="36"/>
          <w:highlight w:val="none"/>
        </w:rPr>
        <w:t>开标</w:t>
      </w:r>
      <w:bookmarkEnd w:id="168"/>
      <w:bookmarkEnd w:id="169"/>
      <w:r>
        <w:rPr>
          <w:rFonts w:hint="eastAsia" w:ascii="微软雅黑" w:hAnsi="微软雅黑" w:eastAsia="微软雅黑"/>
          <w:color w:val="auto"/>
          <w:sz w:val="36"/>
          <w:szCs w:val="36"/>
          <w:highlight w:val="none"/>
        </w:rPr>
        <w:t>一览表*</w:t>
      </w:r>
      <w:bookmarkEnd w:id="171"/>
      <w:bookmarkEnd w:id="172"/>
    </w:p>
    <w:p w14:paraId="6850B492">
      <w:pPr>
        <w:tabs>
          <w:tab w:val="left" w:pos="825"/>
          <w:tab w:val="center" w:pos="4426"/>
        </w:tabs>
        <w:spacing w:line="700" w:lineRule="exact"/>
        <w:rPr>
          <w:rFonts w:hint="eastAsia" w:ascii="微软雅黑" w:hAnsi="微软雅黑" w:eastAsia="微软雅黑"/>
          <w:bCs/>
          <w:snapToGrid w:val="0"/>
          <w:color w:val="auto"/>
          <w:kern w:val="0"/>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项目名称：</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红谷滩区现代服务产业园能耗监测系统技术服务（第二次）</w:t>
      </w:r>
    </w:p>
    <w:p w14:paraId="4F06BC47">
      <w:pPr>
        <w:rPr>
          <w:rFonts w:hint="eastAsia" w:ascii="微软雅黑" w:hAnsi="微软雅黑" w:eastAsia="微软雅黑"/>
          <w:color w:val="auto"/>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采购编号：</w:t>
      </w:r>
      <w:r>
        <w:rPr>
          <w:rFonts w:hint="eastAsia" w:ascii="微软雅黑" w:hAnsi="微软雅黑" w:eastAsia="微软雅黑"/>
          <w:color w:val="auto"/>
          <w:sz w:val="24"/>
          <w:szCs w:val="24"/>
          <w:highlight w:val="none"/>
          <w:lang w:eastAsia="zh-CN"/>
        </w:rPr>
        <w:t>NCCH2026-B0404-1</w:t>
      </w:r>
    </w:p>
    <w:tbl>
      <w:tblPr>
        <w:tblStyle w:val="21"/>
        <w:tblW w:w="14436" w:type="dxa"/>
        <w:tblInd w:w="-25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275"/>
        <w:gridCol w:w="6928"/>
        <w:gridCol w:w="2166"/>
        <w:gridCol w:w="2067"/>
      </w:tblGrid>
      <w:tr w14:paraId="28B50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3275" w:type="dxa"/>
            <w:vAlign w:val="center"/>
          </w:tcPr>
          <w:p w14:paraId="4467F46B">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采购项目</w:t>
            </w:r>
          </w:p>
        </w:tc>
        <w:tc>
          <w:tcPr>
            <w:tcW w:w="6928" w:type="dxa"/>
            <w:vAlign w:val="center"/>
          </w:tcPr>
          <w:p w14:paraId="21719B20">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响应报价（元）</w:t>
            </w:r>
          </w:p>
        </w:tc>
        <w:tc>
          <w:tcPr>
            <w:tcW w:w="2166" w:type="dxa"/>
            <w:vAlign w:val="center"/>
          </w:tcPr>
          <w:p w14:paraId="1D50EFF8">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比选保证金</w:t>
            </w:r>
          </w:p>
        </w:tc>
        <w:tc>
          <w:tcPr>
            <w:tcW w:w="2067" w:type="dxa"/>
            <w:vAlign w:val="center"/>
          </w:tcPr>
          <w:p w14:paraId="26FDB949">
            <w:pPr>
              <w:tabs>
                <w:tab w:val="left" w:pos="825"/>
                <w:tab w:val="center" w:pos="4426"/>
              </w:tabs>
              <w:spacing w:line="700" w:lineRule="exact"/>
              <w:jc w:val="center"/>
              <w:rPr>
                <w:rFonts w:hint="eastAsia" w:ascii="微软雅黑" w:hAnsi="微软雅黑" w:eastAsia="微软雅黑"/>
                <w:bCs/>
                <w:snapToGrid w:val="0"/>
                <w:color w:val="auto"/>
                <w:kern w:val="0"/>
                <w:sz w:val="24"/>
                <w:szCs w:val="24"/>
                <w:highlight w:val="none"/>
                <w:lang w:eastAsia="zh-CN"/>
              </w:rPr>
            </w:pPr>
            <w:r>
              <w:rPr>
                <w:rFonts w:hint="eastAsia" w:ascii="微软雅黑" w:hAnsi="微软雅黑" w:eastAsia="微软雅黑"/>
                <w:bCs/>
                <w:snapToGrid w:val="0"/>
                <w:color w:val="auto"/>
                <w:kern w:val="0"/>
                <w:sz w:val="24"/>
                <w:szCs w:val="24"/>
                <w:highlight w:val="none"/>
                <w:lang w:eastAsia="zh-CN"/>
              </w:rPr>
              <w:t>工期</w:t>
            </w:r>
          </w:p>
        </w:tc>
      </w:tr>
      <w:tr w14:paraId="7FA562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3275" w:type="dxa"/>
            <w:vAlign w:val="center"/>
          </w:tcPr>
          <w:p w14:paraId="738F214E">
            <w:pPr>
              <w:tabs>
                <w:tab w:val="left" w:pos="825"/>
                <w:tab w:val="center" w:pos="4426"/>
              </w:tabs>
              <w:spacing w:line="700" w:lineRule="exact"/>
              <w:jc w:val="center"/>
              <w:rPr>
                <w:rFonts w:hint="eastAsia" w:ascii="微软雅黑" w:hAnsi="微软雅黑" w:eastAsia="微软雅黑"/>
                <w:bCs/>
                <w:snapToGrid w:val="0"/>
                <w:color w:val="auto"/>
                <w:kern w:val="0"/>
                <w:sz w:val="24"/>
                <w:szCs w:val="24"/>
                <w:highlight w:val="none"/>
                <w:lang w:eastAsia="zh-CN"/>
              </w:rPr>
            </w:pPr>
            <w:r>
              <w:rPr>
                <w:rFonts w:hint="eastAsia" w:ascii="微软雅黑" w:hAnsi="微软雅黑" w:eastAsia="微软雅黑"/>
                <w:bCs/>
                <w:snapToGrid w:val="0"/>
                <w:color w:val="auto"/>
                <w:kern w:val="0"/>
                <w:sz w:val="24"/>
                <w:szCs w:val="24"/>
                <w:highlight w:val="none"/>
                <w:lang w:eastAsia="zh-CN"/>
              </w:rPr>
              <w:t>红谷滩区现代服务产业园能耗监测系统技术服务（第二次）</w:t>
            </w:r>
          </w:p>
        </w:tc>
        <w:tc>
          <w:tcPr>
            <w:tcW w:w="6928" w:type="dxa"/>
            <w:vAlign w:val="center"/>
          </w:tcPr>
          <w:p w14:paraId="13FD2114">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大写：</w:t>
            </w:r>
            <w:r>
              <w:rPr>
                <w:rFonts w:hint="eastAsia" w:ascii="微软雅黑" w:hAnsi="微软雅黑" w:eastAsia="微软雅黑"/>
                <w:bCs/>
                <w:snapToGrid w:val="0"/>
                <w:color w:val="auto"/>
                <w:kern w:val="0"/>
                <w:sz w:val="24"/>
                <w:szCs w:val="24"/>
                <w:highlight w:val="none"/>
                <w:u w:val="single"/>
              </w:rPr>
              <w:t xml:space="preserve">                </w:t>
            </w:r>
            <w:r>
              <w:rPr>
                <w:rFonts w:hint="eastAsia" w:ascii="微软雅黑" w:hAnsi="微软雅黑" w:eastAsia="微软雅黑"/>
                <w:bCs/>
                <w:snapToGrid w:val="0"/>
                <w:color w:val="auto"/>
                <w:kern w:val="0"/>
                <w:sz w:val="24"/>
                <w:szCs w:val="24"/>
                <w:highlight w:val="none"/>
              </w:rPr>
              <w:t>元整</w:t>
            </w:r>
          </w:p>
          <w:p w14:paraId="17B331F9">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小写：</w:t>
            </w:r>
            <w:r>
              <w:rPr>
                <w:rFonts w:hint="eastAsia" w:ascii="微软雅黑" w:hAnsi="微软雅黑" w:eastAsia="微软雅黑"/>
                <w:bCs/>
                <w:snapToGrid w:val="0"/>
                <w:color w:val="auto"/>
                <w:kern w:val="0"/>
                <w:sz w:val="24"/>
                <w:szCs w:val="24"/>
                <w:highlight w:val="none"/>
                <w:u w:val="single"/>
              </w:rPr>
              <w:t xml:space="preserve">                </w:t>
            </w:r>
            <w:r>
              <w:rPr>
                <w:rFonts w:hint="eastAsia" w:ascii="微软雅黑" w:hAnsi="微软雅黑" w:eastAsia="微软雅黑"/>
                <w:bCs/>
                <w:snapToGrid w:val="0"/>
                <w:color w:val="auto"/>
                <w:kern w:val="0"/>
                <w:sz w:val="24"/>
                <w:szCs w:val="24"/>
                <w:highlight w:val="none"/>
              </w:rPr>
              <w:t>元整</w:t>
            </w:r>
          </w:p>
        </w:tc>
        <w:tc>
          <w:tcPr>
            <w:tcW w:w="2166" w:type="dxa"/>
            <w:vAlign w:val="center"/>
          </w:tcPr>
          <w:p w14:paraId="5BD598D4">
            <w:pPr>
              <w:tabs>
                <w:tab w:val="left" w:pos="825"/>
                <w:tab w:val="center" w:pos="4426"/>
              </w:tabs>
              <w:spacing w:line="700" w:lineRule="exact"/>
              <w:rPr>
                <w:rFonts w:ascii="微软雅黑" w:hAnsi="微软雅黑" w:eastAsia="微软雅黑"/>
                <w:bCs/>
                <w:snapToGrid w:val="0"/>
                <w:color w:val="auto"/>
                <w:kern w:val="0"/>
                <w:sz w:val="24"/>
                <w:szCs w:val="24"/>
                <w:highlight w:val="none"/>
              </w:rPr>
            </w:pPr>
          </w:p>
        </w:tc>
        <w:tc>
          <w:tcPr>
            <w:tcW w:w="2067" w:type="dxa"/>
            <w:vAlign w:val="center"/>
          </w:tcPr>
          <w:p w14:paraId="11EB70AB">
            <w:pPr>
              <w:tabs>
                <w:tab w:val="left" w:pos="825"/>
                <w:tab w:val="center" w:pos="4426"/>
              </w:tabs>
              <w:spacing w:line="700" w:lineRule="exact"/>
              <w:rPr>
                <w:rFonts w:ascii="微软雅黑" w:hAnsi="微软雅黑" w:eastAsia="微软雅黑"/>
                <w:bCs/>
                <w:snapToGrid w:val="0"/>
                <w:color w:val="auto"/>
                <w:kern w:val="0"/>
                <w:sz w:val="24"/>
                <w:szCs w:val="24"/>
                <w:highlight w:val="none"/>
              </w:rPr>
            </w:pPr>
          </w:p>
        </w:tc>
      </w:tr>
    </w:tbl>
    <w:p w14:paraId="7FEE23CC">
      <w:pPr>
        <w:adjustRightInd w:val="0"/>
        <w:snapToGrid w:val="0"/>
        <w:spacing w:line="300" w:lineRule="auto"/>
        <w:rPr>
          <w:rFonts w:ascii="微软雅黑" w:hAnsi="微软雅黑" w:eastAsia="微软雅黑"/>
          <w:b/>
          <w:snapToGrid w:val="0"/>
          <w:color w:val="auto"/>
          <w:kern w:val="0"/>
          <w:sz w:val="24"/>
          <w:szCs w:val="24"/>
          <w:highlight w:val="none"/>
        </w:rPr>
      </w:pPr>
      <w:r>
        <w:rPr>
          <w:rFonts w:hint="eastAsia" w:ascii="微软雅黑" w:hAnsi="微软雅黑" w:eastAsia="微软雅黑"/>
          <w:b/>
          <w:snapToGrid w:val="0"/>
          <w:color w:val="auto"/>
          <w:kern w:val="0"/>
          <w:sz w:val="24"/>
          <w:szCs w:val="24"/>
          <w:highlight w:val="none"/>
        </w:rPr>
        <w:t>注：1.此表应按“供应商须知前附表5”，要求缴纳的比选保证金凭据复印件一同单独密封在一个信封中，且在投标文件中也应附有此表。</w:t>
      </w:r>
    </w:p>
    <w:p w14:paraId="6D550CE3">
      <w:pPr>
        <w:adjustRightInd w:val="0"/>
        <w:snapToGrid w:val="0"/>
        <w:spacing w:line="300" w:lineRule="auto"/>
        <w:ind w:firstLine="480" w:firstLineChars="200"/>
        <w:rPr>
          <w:rFonts w:ascii="微软雅黑" w:hAnsi="微软雅黑" w:eastAsia="微软雅黑"/>
          <w:snapToGrid w:val="0"/>
          <w:color w:val="auto"/>
          <w:kern w:val="0"/>
          <w:sz w:val="24"/>
          <w:szCs w:val="24"/>
          <w:highlight w:val="none"/>
        </w:rPr>
      </w:pPr>
      <w:r>
        <w:rPr>
          <w:rFonts w:hint="eastAsia" w:ascii="微软雅黑" w:hAnsi="微软雅黑" w:eastAsia="微软雅黑"/>
          <w:b/>
          <w:snapToGrid w:val="0"/>
          <w:color w:val="auto"/>
          <w:kern w:val="0"/>
          <w:sz w:val="24"/>
          <w:szCs w:val="24"/>
          <w:highlight w:val="none"/>
        </w:rPr>
        <w:t>2.本项目执行一次性报价方式；</w:t>
      </w:r>
      <w:r>
        <w:rPr>
          <w:rFonts w:hint="eastAsia" w:ascii="微软雅黑" w:hAnsi="微软雅黑" w:eastAsia="微软雅黑"/>
          <w:b/>
          <w:snapToGrid w:val="0"/>
          <w:color w:val="auto"/>
          <w:kern w:val="0"/>
          <w:sz w:val="24"/>
          <w:szCs w:val="24"/>
          <w:highlight w:val="none"/>
          <w:lang w:eastAsia="zh-CN"/>
        </w:rPr>
        <w:t>应答报价不高于预算价</w:t>
      </w:r>
      <w:r>
        <w:rPr>
          <w:rFonts w:hint="eastAsia" w:ascii="微软雅黑" w:hAnsi="微软雅黑" w:eastAsia="微软雅黑"/>
          <w:b/>
          <w:snapToGrid w:val="0"/>
          <w:color w:val="auto"/>
          <w:kern w:val="0"/>
          <w:sz w:val="24"/>
          <w:szCs w:val="24"/>
          <w:highlight w:val="none"/>
        </w:rPr>
        <w:t>（招标控制价）。</w:t>
      </w:r>
    </w:p>
    <w:p w14:paraId="4D814672">
      <w:pPr>
        <w:adjustRightInd w:val="0"/>
        <w:snapToGrid w:val="0"/>
        <w:spacing w:line="300" w:lineRule="auto"/>
        <w:rPr>
          <w:rFonts w:ascii="微软雅黑" w:hAnsi="微软雅黑" w:eastAsia="微软雅黑"/>
          <w:snapToGrid w:val="0"/>
          <w:color w:val="auto"/>
          <w:kern w:val="0"/>
          <w:sz w:val="24"/>
          <w:szCs w:val="24"/>
          <w:highlight w:val="none"/>
        </w:rPr>
      </w:pPr>
      <w:r>
        <w:rPr>
          <w:rFonts w:hint="eastAsia" w:ascii="微软雅黑" w:hAnsi="微软雅黑" w:eastAsia="微软雅黑"/>
          <w:color w:val="auto"/>
          <w:sz w:val="24"/>
          <w:szCs w:val="24"/>
          <w:highlight w:val="none"/>
          <w:lang w:val="en-GB"/>
        </w:rPr>
        <w:t>供应商</w:t>
      </w:r>
      <w:r>
        <w:rPr>
          <w:rFonts w:hint="eastAsia" w:ascii="微软雅黑" w:hAnsi="微软雅黑" w:eastAsia="微软雅黑"/>
          <w:color w:val="auto"/>
          <w:sz w:val="24"/>
          <w:szCs w:val="24"/>
          <w:highlight w:val="none"/>
        </w:rPr>
        <w:t>名称</w:t>
      </w:r>
      <w:r>
        <w:rPr>
          <w:rFonts w:hint="eastAsia" w:ascii="微软雅黑" w:hAnsi="微软雅黑" w:eastAsia="微软雅黑"/>
          <w:snapToGrid w:val="0"/>
          <w:color w:val="auto"/>
          <w:kern w:val="0"/>
          <w:sz w:val="24"/>
          <w:szCs w:val="24"/>
          <w:highlight w:val="none"/>
        </w:rPr>
        <w:t>：（盖章）</w:t>
      </w:r>
    </w:p>
    <w:p w14:paraId="0F2835D1">
      <w:pPr>
        <w:adjustRightInd w:val="0"/>
        <w:snapToGrid w:val="0"/>
        <w:spacing w:line="300" w:lineRule="auto"/>
        <w:rPr>
          <w:rFonts w:ascii="微软雅黑" w:hAnsi="微软雅黑" w:eastAsia="微软雅黑"/>
          <w:color w:val="auto"/>
          <w:highlight w:val="none"/>
        </w:rPr>
      </w:pPr>
      <w:r>
        <w:rPr>
          <w:rFonts w:hint="eastAsia" w:ascii="微软雅黑" w:hAnsi="微软雅黑" w:eastAsia="微软雅黑"/>
          <w:snapToGrid w:val="0"/>
          <w:color w:val="auto"/>
          <w:kern w:val="0"/>
          <w:sz w:val="24"/>
          <w:szCs w:val="24"/>
          <w:highlight w:val="none"/>
        </w:rPr>
        <w:t>法人代表或授权代表：（签字）                                                                       年    月    日</w:t>
      </w:r>
    </w:p>
    <w:p w14:paraId="03CBBAD6">
      <w:pPr>
        <w:adjustRightInd w:val="0"/>
        <w:snapToGrid w:val="0"/>
        <w:spacing w:line="300" w:lineRule="auto"/>
        <w:ind w:firstLine="1050" w:firstLineChars="500"/>
        <w:rPr>
          <w:rFonts w:ascii="微软雅黑" w:hAnsi="微软雅黑" w:eastAsia="微软雅黑"/>
          <w:snapToGrid w:val="0"/>
          <w:color w:val="auto"/>
          <w:kern w:val="0"/>
          <w:highlight w:val="none"/>
        </w:rPr>
      </w:pPr>
    </w:p>
    <w:p w14:paraId="194EB661">
      <w:pPr>
        <w:spacing w:line="360" w:lineRule="auto"/>
        <w:rPr>
          <w:rFonts w:ascii="微软雅黑" w:hAnsi="微软雅黑" w:eastAsia="微软雅黑"/>
          <w:color w:val="auto"/>
          <w:sz w:val="24"/>
          <w:szCs w:val="24"/>
          <w:highlight w:val="none"/>
        </w:rPr>
        <w:sectPr>
          <w:headerReference r:id="rId30" w:type="first"/>
          <w:footerReference r:id="rId31" w:type="first"/>
          <w:headerReference r:id="rId29" w:type="default"/>
          <w:pgSz w:w="16838" w:h="11906" w:orient="landscape"/>
          <w:pgMar w:top="1797" w:right="1440" w:bottom="1106" w:left="1440" w:header="851" w:footer="992" w:gutter="0"/>
          <w:pgNumType w:fmt="decimal"/>
          <w:cols w:space="720" w:num="1"/>
          <w:titlePg/>
          <w:docGrid w:linePitch="312" w:charSpace="0"/>
        </w:sectPr>
      </w:pPr>
    </w:p>
    <w:p w14:paraId="459E9D2D">
      <w:pPr>
        <w:pStyle w:val="4"/>
        <w:numPr>
          <w:ilvl w:val="0"/>
          <w:numId w:val="5"/>
        </w:numPr>
        <w:spacing w:line="240" w:lineRule="auto"/>
        <w:ind w:left="1077" w:hanging="1077"/>
        <w:rPr>
          <w:rFonts w:ascii="微软雅黑" w:hAnsi="微软雅黑" w:eastAsia="微软雅黑"/>
          <w:color w:val="auto"/>
          <w:sz w:val="36"/>
          <w:szCs w:val="36"/>
          <w:highlight w:val="none"/>
        </w:rPr>
      </w:pPr>
      <w:bookmarkStart w:id="173" w:name="_Toc11305"/>
      <w:bookmarkStart w:id="174" w:name="_Toc153466016"/>
      <w:bookmarkStart w:id="175" w:name="_Toc319584577"/>
      <w:bookmarkStart w:id="176" w:name="_Toc8377128"/>
      <w:r>
        <w:rPr>
          <w:rFonts w:hint="eastAsia" w:ascii="微软雅黑" w:hAnsi="微软雅黑" w:eastAsia="微软雅黑"/>
          <w:color w:val="auto"/>
          <w:sz w:val="36"/>
          <w:szCs w:val="36"/>
          <w:highlight w:val="none"/>
        </w:rPr>
        <w:t>服务要求响应/偏离表*</w:t>
      </w:r>
      <w:bookmarkEnd w:id="173"/>
      <w:bookmarkEnd w:id="174"/>
    </w:p>
    <w:p w14:paraId="74611A27">
      <w:pPr>
        <w:tabs>
          <w:tab w:val="left" w:pos="825"/>
          <w:tab w:val="center" w:pos="4426"/>
        </w:tabs>
        <w:spacing w:line="700" w:lineRule="exact"/>
        <w:rPr>
          <w:rFonts w:hint="eastAsia" w:ascii="微软雅黑" w:hAnsi="微软雅黑" w:eastAsia="微软雅黑"/>
          <w:bCs/>
          <w:snapToGrid w:val="0"/>
          <w:color w:val="auto"/>
          <w:kern w:val="0"/>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项目名称：</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红谷滩区现代服务产业园能耗监测系统技术服务（第二次）</w:t>
      </w:r>
    </w:p>
    <w:p w14:paraId="3555D170">
      <w:pPr>
        <w:rPr>
          <w:rFonts w:hint="eastAsia" w:ascii="微软雅黑" w:hAnsi="微软雅黑" w:eastAsia="微软雅黑"/>
          <w:color w:val="auto"/>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采购编号：</w:t>
      </w:r>
      <w:r>
        <w:rPr>
          <w:rFonts w:hint="eastAsia" w:ascii="微软雅黑" w:hAnsi="微软雅黑" w:eastAsia="微软雅黑"/>
          <w:color w:val="auto"/>
          <w:sz w:val="24"/>
          <w:szCs w:val="24"/>
          <w:highlight w:val="none"/>
          <w:lang w:eastAsia="zh-CN"/>
        </w:rPr>
        <w:t>NCCH2026-B0404-1</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76"/>
        <w:gridCol w:w="1417"/>
        <w:gridCol w:w="1418"/>
        <w:gridCol w:w="1417"/>
        <w:gridCol w:w="1276"/>
        <w:gridCol w:w="1276"/>
      </w:tblGrid>
      <w:tr w14:paraId="087DF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6" w:hRule="atLeast"/>
          <w:jc w:val="center"/>
        </w:trPr>
        <w:tc>
          <w:tcPr>
            <w:tcW w:w="710" w:type="dxa"/>
            <w:vAlign w:val="center"/>
          </w:tcPr>
          <w:p w14:paraId="1DCF0FA9">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序号</w:t>
            </w:r>
          </w:p>
        </w:tc>
        <w:tc>
          <w:tcPr>
            <w:tcW w:w="1276" w:type="dxa"/>
            <w:vAlign w:val="center"/>
          </w:tcPr>
          <w:p w14:paraId="28B88E5A">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服务名称</w:t>
            </w:r>
          </w:p>
        </w:tc>
        <w:tc>
          <w:tcPr>
            <w:tcW w:w="1417" w:type="dxa"/>
            <w:vAlign w:val="center"/>
          </w:tcPr>
          <w:p w14:paraId="2CB941AF">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比选文件的服务要求</w:t>
            </w:r>
          </w:p>
        </w:tc>
        <w:tc>
          <w:tcPr>
            <w:tcW w:w="1418" w:type="dxa"/>
            <w:vAlign w:val="center"/>
          </w:tcPr>
          <w:p w14:paraId="4E6A4B2E">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响应文件的服务要求</w:t>
            </w:r>
          </w:p>
        </w:tc>
        <w:tc>
          <w:tcPr>
            <w:tcW w:w="1417" w:type="dxa"/>
            <w:vAlign w:val="center"/>
          </w:tcPr>
          <w:p w14:paraId="1A4A922C">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响应/偏离</w:t>
            </w:r>
          </w:p>
        </w:tc>
        <w:tc>
          <w:tcPr>
            <w:tcW w:w="1276" w:type="dxa"/>
            <w:vAlign w:val="center"/>
          </w:tcPr>
          <w:p w14:paraId="17E6F3D1">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差异说明</w:t>
            </w:r>
          </w:p>
        </w:tc>
        <w:tc>
          <w:tcPr>
            <w:tcW w:w="1276" w:type="dxa"/>
          </w:tcPr>
          <w:p w14:paraId="12AFD60B">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证明材料所在页码（如有）</w:t>
            </w:r>
          </w:p>
        </w:tc>
      </w:tr>
      <w:tr w14:paraId="4175C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710" w:type="dxa"/>
          </w:tcPr>
          <w:p w14:paraId="59256D0E">
            <w:pPr>
              <w:spacing w:line="432" w:lineRule="auto"/>
              <w:rPr>
                <w:rFonts w:ascii="微软雅黑" w:hAnsi="微软雅黑" w:eastAsia="微软雅黑"/>
                <w:color w:val="auto"/>
                <w:sz w:val="24"/>
                <w:highlight w:val="none"/>
              </w:rPr>
            </w:pPr>
          </w:p>
        </w:tc>
        <w:tc>
          <w:tcPr>
            <w:tcW w:w="1276" w:type="dxa"/>
          </w:tcPr>
          <w:p w14:paraId="12F35C55">
            <w:pPr>
              <w:spacing w:line="432" w:lineRule="auto"/>
              <w:rPr>
                <w:rFonts w:ascii="微软雅黑" w:hAnsi="微软雅黑" w:eastAsia="微软雅黑"/>
                <w:color w:val="auto"/>
                <w:sz w:val="24"/>
                <w:highlight w:val="none"/>
              </w:rPr>
            </w:pPr>
          </w:p>
        </w:tc>
        <w:tc>
          <w:tcPr>
            <w:tcW w:w="1417" w:type="dxa"/>
          </w:tcPr>
          <w:p w14:paraId="129F93F1">
            <w:pPr>
              <w:spacing w:line="432" w:lineRule="auto"/>
              <w:rPr>
                <w:rFonts w:ascii="微软雅黑" w:hAnsi="微软雅黑" w:eastAsia="微软雅黑"/>
                <w:color w:val="auto"/>
                <w:sz w:val="24"/>
                <w:highlight w:val="none"/>
              </w:rPr>
            </w:pPr>
          </w:p>
        </w:tc>
        <w:tc>
          <w:tcPr>
            <w:tcW w:w="1418" w:type="dxa"/>
          </w:tcPr>
          <w:p w14:paraId="5911A3FF">
            <w:pPr>
              <w:spacing w:line="432" w:lineRule="auto"/>
              <w:rPr>
                <w:rFonts w:ascii="微软雅黑" w:hAnsi="微软雅黑" w:eastAsia="微软雅黑"/>
                <w:color w:val="auto"/>
                <w:sz w:val="24"/>
                <w:highlight w:val="none"/>
              </w:rPr>
            </w:pPr>
          </w:p>
        </w:tc>
        <w:tc>
          <w:tcPr>
            <w:tcW w:w="1417" w:type="dxa"/>
          </w:tcPr>
          <w:p w14:paraId="141DF4B5">
            <w:pPr>
              <w:spacing w:line="432" w:lineRule="auto"/>
              <w:rPr>
                <w:rFonts w:ascii="微软雅黑" w:hAnsi="微软雅黑" w:eastAsia="微软雅黑"/>
                <w:color w:val="auto"/>
                <w:sz w:val="24"/>
                <w:highlight w:val="none"/>
              </w:rPr>
            </w:pPr>
          </w:p>
        </w:tc>
        <w:tc>
          <w:tcPr>
            <w:tcW w:w="1276" w:type="dxa"/>
          </w:tcPr>
          <w:p w14:paraId="1D7D3221">
            <w:pPr>
              <w:spacing w:line="432" w:lineRule="auto"/>
              <w:rPr>
                <w:rFonts w:ascii="微软雅黑" w:hAnsi="微软雅黑" w:eastAsia="微软雅黑"/>
                <w:color w:val="auto"/>
                <w:sz w:val="24"/>
                <w:highlight w:val="none"/>
              </w:rPr>
            </w:pPr>
          </w:p>
        </w:tc>
        <w:tc>
          <w:tcPr>
            <w:tcW w:w="1276" w:type="dxa"/>
          </w:tcPr>
          <w:p w14:paraId="1B6111CD">
            <w:pPr>
              <w:spacing w:line="432" w:lineRule="auto"/>
              <w:rPr>
                <w:rFonts w:ascii="微软雅黑" w:hAnsi="微软雅黑" w:eastAsia="微软雅黑"/>
                <w:color w:val="auto"/>
                <w:sz w:val="24"/>
                <w:highlight w:val="none"/>
              </w:rPr>
            </w:pPr>
          </w:p>
        </w:tc>
      </w:tr>
      <w:tr w14:paraId="4FFF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jc w:val="center"/>
        </w:trPr>
        <w:tc>
          <w:tcPr>
            <w:tcW w:w="710" w:type="dxa"/>
          </w:tcPr>
          <w:p w14:paraId="2B75C6B2">
            <w:pPr>
              <w:spacing w:line="432" w:lineRule="auto"/>
              <w:rPr>
                <w:rFonts w:ascii="微软雅黑" w:hAnsi="微软雅黑" w:eastAsia="微软雅黑"/>
                <w:color w:val="auto"/>
                <w:sz w:val="24"/>
                <w:highlight w:val="none"/>
              </w:rPr>
            </w:pPr>
          </w:p>
        </w:tc>
        <w:tc>
          <w:tcPr>
            <w:tcW w:w="1276" w:type="dxa"/>
          </w:tcPr>
          <w:p w14:paraId="6BA0B295">
            <w:pPr>
              <w:spacing w:line="432" w:lineRule="auto"/>
              <w:rPr>
                <w:rFonts w:ascii="微软雅黑" w:hAnsi="微软雅黑" w:eastAsia="微软雅黑"/>
                <w:color w:val="auto"/>
                <w:sz w:val="24"/>
                <w:highlight w:val="none"/>
              </w:rPr>
            </w:pPr>
          </w:p>
        </w:tc>
        <w:tc>
          <w:tcPr>
            <w:tcW w:w="1417" w:type="dxa"/>
          </w:tcPr>
          <w:p w14:paraId="77425F1C">
            <w:pPr>
              <w:spacing w:line="432" w:lineRule="auto"/>
              <w:rPr>
                <w:rFonts w:ascii="微软雅黑" w:hAnsi="微软雅黑" w:eastAsia="微软雅黑"/>
                <w:color w:val="auto"/>
                <w:sz w:val="24"/>
                <w:highlight w:val="none"/>
              </w:rPr>
            </w:pPr>
          </w:p>
        </w:tc>
        <w:tc>
          <w:tcPr>
            <w:tcW w:w="1418" w:type="dxa"/>
          </w:tcPr>
          <w:p w14:paraId="0F27B8F9">
            <w:pPr>
              <w:spacing w:line="432" w:lineRule="auto"/>
              <w:rPr>
                <w:rFonts w:ascii="微软雅黑" w:hAnsi="微软雅黑" w:eastAsia="微软雅黑"/>
                <w:color w:val="auto"/>
                <w:sz w:val="24"/>
                <w:highlight w:val="none"/>
              </w:rPr>
            </w:pPr>
          </w:p>
        </w:tc>
        <w:tc>
          <w:tcPr>
            <w:tcW w:w="1417" w:type="dxa"/>
          </w:tcPr>
          <w:p w14:paraId="1489337D">
            <w:pPr>
              <w:spacing w:line="432" w:lineRule="auto"/>
              <w:rPr>
                <w:rFonts w:ascii="微软雅黑" w:hAnsi="微软雅黑" w:eastAsia="微软雅黑"/>
                <w:color w:val="auto"/>
                <w:sz w:val="24"/>
                <w:highlight w:val="none"/>
              </w:rPr>
            </w:pPr>
          </w:p>
        </w:tc>
        <w:tc>
          <w:tcPr>
            <w:tcW w:w="1276" w:type="dxa"/>
          </w:tcPr>
          <w:p w14:paraId="46A7716A">
            <w:pPr>
              <w:spacing w:line="432" w:lineRule="auto"/>
              <w:rPr>
                <w:rFonts w:ascii="微软雅黑" w:hAnsi="微软雅黑" w:eastAsia="微软雅黑"/>
                <w:color w:val="auto"/>
                <w:sz w:val="24"/>
                <w:highlight w:val="none"/>
              </w:rPr>
            </w:pPr>
          </w:p>
        </w:tc>
        <w:tc>
          <w:tcPr>
            <w:tcW w:w="1276" w:type="dxa"/>
          </w:tcPr>
          <w:p w14:paraId="2FB36860">
            <w:pPr>
              <w:spacing w:line="432" w:lineRule="auto"/>
              <w:rPr>
                <w:rFonts w:ascii="微软雅黑" w:hAnsi="微软雅黑" w:eastAsia="微软雅黑"/>
                <w:color w:val="auto"/>
                <w:sz w:val="24"/>
                <w:highlight w:val="none"/>
              </w:rPr>
            </w:pPr>
          </w:p>
        </w:tc>
      </w:tr>
      <w:tr w14:paraId="1FE3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jc w:val="center"/>
        </w:trPr>
        <w:tc>
          <w:tcPr>
            <w:tcW w:w="710" w:type="dxa"/>
          </w:tcPr>
          <w:p w14:paraId="04CFA826">
            <w:pPr>
              <w:spacing w:line="432" w:lineRule="auto"/>
              <w:rPr>
                <w:rFonts w:ascii="微软雅黑" w:hAnsi="微软雅黑" w:eastAsia="微软雅黑"/>
                <w:color w:val="auto"/>
                <w:sz w:val="24"/>
                <w:highlight w:val="none"/>
              </w:rPr>
            </w:pPr>
          </w:p>
        </w:tc>
        <w:tc>
          <w:tcPr>
            <w:tcW w:w="1276" w:type="dxa"/>
          </w:tcPr>
          <w:p w14:paraId="53854AE8">
            <w:pPr>
              <w:spacing w:line="432" w:lineRule="auto"/>
              <w:rPr>
                <w:rFonts w:ascii="微软雅黑" w:hAnsi="微软雅黑" w:eastAsia="微软雅黑"/>
                <w:color w:val="auto"/>
                <w:sz w:val="24"/>
                <w:highlight w:val="none"/>
              </w:rPr>
            </w:pPr>
          </w:p>
        </w:tc>
        <w:tc>
          <w:tcPr>
            <w:tcW w:w="1417" w:type="dxa"/>
          </w:tcPr>
          <w:p w14:paraId="1BBD818A">
            <w:pPr>
              <w:spacing w:line="432" w:lineRule="auto"/>
              <w:rPr>
                <w:rFonts w:ascii="微软雅黑" w:hAnsi="微软雅黑" w:eastAsia="微软雅黑"/>
                <w:color w:val="auto"/>
                <w:sz w:val="24"/>
                <w:highlight w:val="none"/>
              </w:rPr>
            </w:pPr>
          </w:p>
        </w:tc>
        <w:tc>
          <w:tcPr>
            <w:tcW w:w="1418" w:type="dxa"/>
          </w:tcPr>
          <w:p w14:paraId="7596A0F3">
            <w:pPr>
              <w:spacing w:line="432" w:lineRule="auto"/>
              <w:rPr>
                <w:rFonts w:ascii="微软雅黑" w:hAnsi="微软雅黑" w:eastAsia="微软雅黑"/>
                <w:color w:val="auto"/>
                <w:sz w:val="24"/>
                <w:highlight w:val="none"/>
              </w:rPr>
            </w:pPr>
          </w:p>
        </w:tc>
        <w:tc>
          <w:tcPr>
            <w:tcW w:w="1417" w:type="dxa"/>
          </w:tcPr>
          <w:p w14:paraId="7566F53C">
            <w:pPr>
              <w:spacing w:line="432" w:lineRule="auto"/>
              <w:rPr>
                <w:rFonts w:ascii="微软雅黑" w:hAnsi="微软雅黑" w:eastAsia="微软雅黑"/>
                <w:color w:val="auto"/>
                <w:sz w:val="24"/>
                <w:highlight w:val="none"/>
              </w:rPr>
            </w:pPr>
          </w:p>
        </w:tc>
        <w:tc>
          <w:tcPr>
            <w:tcW w:w="1276" w:type="dxa"/>
          </w:tcPr>
          <w:p w14:paraId="68F671CC">
            <w:pPr>
              <w:spacing w:line="432" w:lineRule="auto"/>
              <w:rPr>
                <w:rFonts w:ascii="微软雅黑" w:hAnsi="微软雅黑" w:eastAsia="微软雅黑"/>
                <w:color w:val="auto"/>
                <w:sz w:val="24"/>
                <w:highlight w:val="none"/>
              </w:rPr>
            </w:pPr>
          </w:p>
        </w:tc>
        <w:tc>
          <w:tcPr>
            <w:tcW w:w="1276" w:type="dxa"/>
          </w:tcPr>
          <w:p w14:paraId="3625883B">
            <w:pPr>
              <w:spacing w:line="432" w:lineRule="auto"/>
              <w:rPr>
                <w:rFonts w:ascii="微软雅黑" w:hAnsi="微软雅黑" w:eastAsia="微软雅黑"/>
                <w:color w:val="auto"/>
                <w:sz w:val="24"/>
                <w:highlight w:val="none"/>
              </w:rPr>
            </w:pPr>
          </w:p>
        </w:tc>
      </w:tr>
      <w:tr w14:paraId="6116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jc w:val="center"/>
        </w:trPr>
        <w:tc>
          <w:tcPr>
            <w:tcW w:w="710" w:type="dxa"/>
          </w:tcPr>
          <w:p w14:paraId="32EAA144">
            <w:pPr>
              <w:spacing w:line="432" w:lineRule="auto"/>
              <w:rPr>
                <w:rFonts w:ascii="微软雅黑" w:hAnsi="微软雅黑" w:eastAsia="微软雅黑"/>
                <w:color w:val="auto"/>
                <w:sz w:val="24"/>
                <w:highlight w:val="none"/>
              </w:rPr>
            </w:pPr>
          </w:p>
        </w:tc>
        <w:tc>
          <w:tcPr>
            <w:tcW w:w="1276" w:type="dxa"/>
          </w:tcPr>
          <w:p w14:paraId="59DE3924">
            <w:pPr>
              <w:spacing w:line="432" w:lineRule="auto"/>
              <w:rPr>
                <w:rFonts w:ascii="微软雅黑" w:hAnsi="微软雅黑" w:eastAsia="微软雅黑"/>
                <w:color w:val="auto"/>
                <w:sz w:val="24"/>
                <w:highlight w:val="none"/>
              </w:rPr>
            </w:pPr>
          </w:p>
        </w:tc>
        <w:tc>
          <w:tcPr>
            <w:tcW w:w="1417" w:type="dxa"/>
          </w:tcPr>
          <w:p w14:paraId="67E6B6BD">
            <w:pPr>
              <w:spacing w:line="432" w:lineRule="auto"/>
              <w:rPr>
                <w:rFonts w:ascii="微软雅黑" w:hAnsi="微软雅黑" w:eastAsia="微软雅黑"/>
                <w:color w:val="auto"/>
                <w:sz w:val="24"/>
                <w:highlight w:val="none"/>
              </w:rPr>
            </w:pPr>
          </w:p>
        </w:tc>
        <w:tc>
          <w:tcPr>
            <w:tcW w:w="1418" w:type="dxa"/>
          </w:tcPr>
          <w:p w14:paraId="7A045825">
            <w:pPr>
              <w:spacing w:line="432" w:lineRule="auto"/>
              <w:rPr>
                <w:rFonts w:ascii="微软雅黑" w:hAnsi="微软雅黑" w:eastAsia="微软雅黑"/>
                <w:color w:val="auto"/>
                <w:sz w:val="24"/>
                <w:highlight w:val="none"/>
              </w:rPr>
            </w:pPr>
          </w:p>
        </w:tc>
        <w:tc>
          <w:tcPr>
            <w:tcW w:w="1417" w:type="dxa"/>
          </w:tcPr>
          <w:p w14:paraId="6A50488A">
            <w:pPr>
              <w:spacing w:line="432" w:lineRule="auto"/>
              <w:rPr>
                <w:rFonts w:ascii="微软雅黑" w:hAnsi="微软雅黑" w:eastAsia="微软雅黑"/>
                <w:color w:val="auto"/>
                <w:sz w:val="24"/>
                <w:highlight w:val="none"/>
              </w:rPr>
            </w:pPr>
          </w:p>
        </w:tc>
        <w:tc>
          <w:tcPr>
            <w:tcW w:w="1276" w:type="dxa"/>
          </w:tcPr>
          <w:p w14:paraId="15B9FE94">
            <w:pPr>
              <w:spacing w:line="432" w:lineRule="auto"/>
              <w:rPr>
                <w:rFonts w:ascii="微软雅黑" w:hAnsi="微软雅黑" w:eastAsia="微软雅黑"/>
                <w:color w:val="auto"/>
                <w:sz w:val="24"/>
                <w:highlight w:val="none"/>
              </w:rPr>
            </w:pPr>
          </w:p>
        </w:tc>
        <w:tc>
          <w:tcPr>
            <w:tcW w:w="1276" w:type="dxa"/>
          </w:tcPr>
          <w:p w14:paraId="535EA570">
            <w:pPr>
              <w:spacing w:line="432" w:lineRule="auto"/>
              <w:rPr>
                <w:rFonts w:ascii="微软雅黑" w:hAnsi="微软雅黑" w:eastAsia="微软雅黑"/>
                <w:color w:val="auto"/>
                <w:sz w:val="24"/>
                <w:highlight w:val="none"/>
              </w:rPr>
            </w:pPr>
          </w:p>
        </w:tc>
      </w:tr>
      <w:tr w14:paraId="5DF2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jc w:val="center"/>
        </w:trPr>
        <w:tc>
          <w:tcPr>
            <w:tcW w:w="710" w:type="dxa"/>
          </w:tcPr>
          <w:p w14:paraId="23185EF0">
            <w:pPr>
              <w:spacing w:line="432" w:lineRule="auto"/>
              <w:rPr>
                <w:rFonts w:ascii="微软雅黑" w:hAnsi="微软雅黑" w:eastAsia="微软雅黑"/>
                <w:color w:val="auto"/>
                <w:sz w:val="24"/>
                <w:highlight w:val="none"/>
              </w:rPr>
            </w:pPr>
          </w:p>
        </w:tc>
        <w:tc>
          <w:tcPr>
            <w:tcW w:w="1276" w:type="dxa"/>
          </w:tcPr>
          <w:p w14:paraId="38CCF3F3">
            <w:pPr>
              <w:spacing w:line="432" w:lineRule="auto"/>
              <w:rPr>
                <w:rFonts w:ascii="微软雅黑" w:hAnsi="微软雅黑" w:eastAsia="微软雅黑"/>
                <w:color w:val="auto"/>
                <w:sz w:val="24"/>
                <w:highlight w:val="none"/>
              </w:rPr>
            </w:pPr>
          </w:p>
        </w:tc>
        <w:tc>
          <w:tcPr>
            <w:tcW w:w="1417" w:type="dxa"/>
          </w:tcPr>
          <w:p w14:paraId="2E75FB21">
            <w:pPr>
              <w:spacing w:line="432" w:lineRule="auto"/>
              <w:rPr>
                <w:rFonts w:ascii="微软雅黑" w:hAnsi="微软雅黑" w:eastAsia="微软雅黑"/>
                <w:color w:val="auto"/>
                <w:sz w:val="24"/>
                <w:highlight w:val="none"/>
              </w:rPr>
            </w:pPr>
          </w:p>
        </w:tc>
        <w:tc>
          <w:tcPr>
            <w:tcW w:w="1418" w:type="dxa"/>
          </w:tcPr>
          <w:p w14:paraId="6EF6D1F7">
            <w:pPr>
              <w:spacing w:line="432" w:lineRule="auto"/>
              <w:rPr>
                <w:rFonts w:ascii="微软雅黑" w:hAnsi="微软雅黑" w:eastAsia="微软雅黑"/>
                <w:color w:val="auto"/>
                <w:sz w:val="24"/>
                <w:highlight w:val="none"/>
              </w:rPr>
            </w:pPr>
          </w:p>
        </w:tc>
        <w:tc>
          <w:tcPr>
            <w:tcW w:w="1417" w:type="dxa"/>
          </w:tcPr>
          <w:p w14:paraId="309F22DC">
            <w:pPr>
              <w:spacing w:line="432" w:lineRule="auto"/>
              <w:rPr>
                <w:rFonts w:ascii="微软雅黑" w:hAnsi="微软雅黑" w:eastAsia="微软雅黑"/>
                <w:color w:val="auto"/>
                <w:sz w:val="24"/>
                <w:highlight w:val="none"/>
              </w:rPr>
            </w:pPr>
          </w:p>
        </w:tc>
        <w:tc>
          <w:tcPr>
            <w:tcW w:w="1276" w:type="dxa"/>
          </w:tcPr>
          <w:p w14:paraId="667BFCEE">
            <w:pPr>
              <w:spacing w:line="432" w:lineRule="auto"/>
              <w:rPr>
                <w:rFonts w:ascii="微软雅黑" w:hAnsi="微软雅黑" w:eastAsia="微软雅黑"/>
                <w:color w:val="auto"/>
                <w:sz w:val="24"/>
                <w:highlight w:val="none"/>
              </w:rPr>
            </w:pPr>
          </w:p>
        </w:tc>
        <w:tc>
          <w:tcPr>
            <w:tcW w:w="1276" w:type="dxa"/>
          </w:tcPr>
          <w:p w14:paraId="61AA13AC">
            <w:pPr>
              <w:spacing w:line="432" w:lineRule="auto"/>
              <w:rPr>
                <w:rFonts w:ascii="微软雅黑" w:hAnsi="微软雅黑" w:eastAsia="微软雅黑"/>
                <w:color w:val="auto"/>
                <w:sz w:val="24"/>
                <w:highlight w:val="none"/>
              </w:rPr>
            </w:pPr>
          </w:p>
        </w:tc>
      </w:tr>
    </w:tbl>
    <w:p w14:paraId="60F8D97E">
      <w:pPr>
        <w:spacing w:line="400" w:lineRule="exact"/>
        <w:ind w:left="945" w:hanging="94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lang w:val="en-GB"/>
        </w:rPr>
        <w:t>服务商</w:t>
      </w:r>
      <w:r>
        <w:rPr>
          <w:rFonts w:hint="eastAsia" w:ascii="微软雅黑" w:hAnsi="微软雅黑" w:eastAsia="微软雅黑"/>
          <w:color w:val="auto"/>
          <w:sz w:val="24"/>
          <w:szCs w:val="24"/>
          <w:highlight w:val="none"/>
        </w:rPr>
        <w:t>名称</w:t>
      </w:r>
      <w:r>
        <w:rPr>
          <w:rFonts w:hint="eastAsia" w:ascii="微软雅黑" w:hAnsi="微软雅黑" w:eastAsia="微软雅黑"/>
          <w:color w:val="auto"/>
          <w:sz w:val="24"/>
          <w:highlight w:val="none"/>
        </w:rPr>
        <w:t>（盖章）</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u w:val="single"/>
        </w:rPr>
        <w:t xml:space="preserve">                            </w:t>
      </w:r>
    </w:p>
    <w:p w14:paraId="1C54B5C4">
      <w:pPr>
        <w:spacing w:line="400" w:lineRule="exact"/>
        <w:ind w:left="945" w:hanging="945"/>
        <w:rPr>
          <w:rFonts w:ascii="微软雅黑" w:hAnsi="微软雅黑" w:eastAsia="微软雅黑"/>
          <w:snapToGrid w:val="0"/>
          <w:color w:val="auto"/>
          <w:kern w:val="0"/>
          <w:sz w:val="24"/>
          <w:szCs w:val="24"/>
          <w:highlight w:val="none"/>
        </w:rPr>
      </w:pPr>
    </w:p>
    <w:p w14:paraId="01B3A47C">
      <w:pPr>
        <w:spacing w:line="400" w:lineRule="exact"/>
        <w:rPr>
          <w:rFonts w:ascii="微软雅黑" w:hAnsi="微软雅黑" w:eastAsia="微软雅黑"/>
          <w:color w:val="auto"/>
          <w:sz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hint="eastAsia" w:ascii="微软雅黑" w:hAnsi="微软雅黑" w:eastAsia="微软雅黑"/>
          <w:color w:val="auto"/>
          <w:sz w:val="24"/>
          <w:highlight w:val="none"/>
        </w:rPr>
        <w:t>签字：</w:t>
      </w:r>
      <w:r>
        <w:rPr>
          <w:rFonts w:hint="eastAsia" w:ascii="微软雅黑" w:hAnsi="微软雅黑" w:eastAsia="微软雅黑"/>
          <w:color w:val="auto"/>
          <w:sz w:val="24"/>
          <w:highlight w:val="none"/>
          <w:u w:val="single"/>
        </w:rPr>
        <w:t xml:space="preserve">                       </w:t>
      </w:r>
    </w:p>
    <w:p w14:paraId="7DC132ED">
      <w:pPr>
        <w:spacing w:line="400" w:lineRule="exact"/>
        <w:jc w:val="right"/>
        <w:rPr>
          <w:rFonts w:ascii="微软雅黑" w:hAnsi="微软雅黑" w:eastAsia="微软雅黑"/>
          <w:snapToGrid w:val="0"/>
          <w:color w:val="auto"/>
          <w:kern w:val="0"/>
          <w:sz w:val="24"/>
          <w:szCs w:val="24"/>
          <w:highlight w:val="none"/>
        </w:rPr>
      </w:pPr>
      <w:r>
        <w:rPr>
          <w:rFonts w:hint="eastAsia" w:ascii="微软雅黑" w:hAnsi="微软雅黑" w:eastAsia="微软雅黑"/>
          <w:snapToGrid w:val="0"/>
          <w:color w:val="auto"/>
          <w:kern w:val="0"/>
          <w:sz w:val="24"/>
          <w:szCs w:val="24"/>
          <w:highlight w:val="none"/>
        </w:rPr>
        <w:t xml:space="preserve">                年    月    日</w:t>
      </w:r>
    </w:p>
    <w:p w14:paraId="7E0538C2">
      <w:pPr>
        <w:spacing w:line="260" w:lineRule="exact"/>
        <w:rPr>
          <w:rFonts w:ascii="微软雅黑" w:hAnsi="微软雅黑" w:eastAsia="微软雅黑"/>
          <w:color w:val="auto"/>
          <w:szCs w:val="21"/>
          <w:highlight w:val="none"/>
        </w:rPr>
      </w:pPr>
      <w:r>
        <w:rPr>
          <w:rFonts w:hint="eastAsia" w:ascii="微软雅黑" w:hAnsi="微软雅黑" w:eastAsia="微软雅黑"/>
          <w:color w:val="auto"/>
          <w:szCs w:val="21"/>
          <w:highlight w:val="none"/>
        </w:rPr>
        <w:t>注：1、服务商应对照比选文件技术规格，逐条说明所提供服务已对比选文件的服务规范做出了响应或偏离，特别对有具体参数要求的指标，服务商必须提供所供服务的具体要求值。服务商应如实填写偏离情况，如果服务商的响应承诺明显不符合比选文件要求却在偏离情况中作“满足”、“无偏离”、“正偏离”等满足比选文件要求的承诺时，经评委认定后，按虚假响应处理。服务商提供虚假响应响应文件及材料谋取成交，列入不良行为记录名单，在一至三年内禁止参加采购活动。</w:t>
      </w:r>
    </w:p>
    <w:p w14:paraId="2D92D832">
      <w:pPr>
        <w:spacing w:line="260" w:lineRule="exact"/>
        <w:ind w:firstLine="357"/>
        <w:rPr>
          <w:rFonts w:ascii="微软雅黑" w:hAnsi="微软雅黑" w:eastAsia="微软雅黑"/>
          <w:color w:val="auto"/>
          <w:szCs w:val="21"/>
          <w:highlight w:val="none"/>
        </w:rPr>
      </w:pPr>
      <w:r>
        <w:rPr>
          <w:rFonts w:hint="eastAsia" w:ascii="微软雅黑" w:hAnsi="微软雅黑" w:eastAsia="微软雅黑"/>
          <w:color w:val="auto"/>
          <w:szCs w:val="21"/>
          <w:highlight w:val="none"/>
        </w:rPr>
        <w:t>2、以上响应/偏离内容应在说明栏中注明该条在比选响应文件中相关部分（或页码）有相应的依据。</w:t>
      </w:r>
    </w:p>
    <w:p w14:paraId="6CFF998B">
      <w:pPr>
        <w:spacing w:line="260" w:lineRule="exact"/>
        <w:ind w:firstLine="357"/>
        <w:rPr>
          <w:rFonts w:ascii="微软雅黑" w:hAnsi="微软雅黑" w:eastAsia="微软雅黑"/>
          <w:color w:val="auto"/>
          <w:szCs w:val="21"/>
          <w:highlight w:val="none"/>
        </w:rPr>
      </w:pPr>
      <w:r>
        <w:rPr>
          <w:rFonts w:hint="eastAsia" w:ascii="微软雅黑" w:hAnsi="微软雅黑" w:eastAsia="微软雅黑"/>
          <w:color w:val="auto"/>
          <w:szCs w:val="21"/>
          <w:highlight w:val="none"/>
        </w:rPr>
        <w:t>3、服务商所供产品如与比选文件要求的规格及配置不一致，则需在上表说明栏中注明。</w:t>
      </w:r>
    </w:p>
    <w:p w14:paraId="3FC40DCF">
      <w:pPr>
        <w:spacing w:line="260" w:lineRule="exact"/>
        <w:ind w:firstLine="357"/>
        <w:rPr>
          <w:rFonts w:ascii="微软雅黑" w:hAnsi="微软雅黑" w:eastAsia="微软雅黑"/>
          <w:color w:val="auto"/>
          <w:szCs w:val="21"/>
          <w:highlight w:val="none"/>
        </w:rPr>
      </w:pPr>
      <w:r>
        <w:rPr>
          <w:rFonts w:hint="eastAsia" w:ascii="微软雅黑" w:hAnsi="微软雅黑" w:eastAsia="微软雅黑"/>
          <w:color w:val="auto"/>
          <w:szCs w:val="21"/>
          <w:highlight w:val="none"/>
        </w:rPr>
        <w:t>4、如不按要求填写，产生的一切后果由服务商负责。</w:t>
      </w:r>
    </w:p>
    <w:bookmarkEnd w:id="175"/>
    <w:bookmarkEnd w:id="176"/>
    <w:p w14:paraId="41D57DEA">
      <w:pPr>
        <w:pStyle w:val="4"/>
        <w:numPr>
          <w:ilvl w:val="0"/>
          <w:numId w:val="5"/>
        </w:numPr>
        <w:spacing w:before="0" w:after="0" w:line="360" w:lineRule="auto"/>
        <w:rPr>
          <w:rFonts w:ascii="微软雅黑" w:hAnsi="微软雅黑" w:eastAsia="微软雅黑"/>
          <w:color w:val="auto"/>
          <w:sz w:val="36"/>
          <w:szCs w:val="36"/>
          <w:highlight w:val="none"/>
        </w:rPr>
      </w:pPr>
      <w:bookmarkStart w:id="177" w:name="_Toc319584578"/>
      <w:bookmarkStart w:id="178" w:name="_Toc8076"/>
      <w:bookmarkStart w:id="179" w:name="_Toc8377129"/>
      <w:r>
        <w:rPr>
          <w:rFonts w:hint="eastAsia" w:ascii="微软雅黑" w:hAnsi="微软雅黑" w:eastAsia="微软雅黑"/>
          <w:color w:val="auto"/>
          <w:sz w:val="36"/>
          <w:szCs w:val="36"/>
          <w:highlight w:val="none"/>
        </w:rPr>
        <w:t>商务条款响应/偏离表</w:t>
      </w:r>
      <w:bookmarkEnd w:id="177"/>
      <w:r>
        <w:rPr>
          <w:rFonts w:hint="eastAsia" w:ascii="微软雅黑" w:hAnsi="微软雅黑" w:eastAsia="微软雅黑"/>
          <w:color w:val="auto"/>
          <w:sz w:val="36"/>
          <w:szCs w:val="36"/>
          <w:highlight w:val="none"/>
        </w:rPr>
        <w:t>*</w:t>
      </w:r>
      <w:bookmarkEnd w:id="178"/>
      <w:bookmarkEnd w:id="179"/>
    </w:p>
    <w:p w14:paraId="4999043F">
      <w:pPr>
        <w:spacing w:line="276" w:lineRule="auto"/>
        <w:rPr>
          <w:rFonts w:hint="eastAsia" w:ascii="微软雅黑" w:hAnsi="微软雅黑" w:eastAsia="微软雅黑"/>
          <w:color w:val="auto"/>
          <w:sz w:val="24"/>
          <w:highlight w:val="none"/>
          <w:lang w:eastAsia="zh-CN"/>
        </w:rPr>
      </w:pPr>
      <w:r>
        <w:rPr>
          <w:rFonts w:hint="eastAsia" w:ascii="微软雅黑" w:hAnsi="微软雅黑" w:eastAsia="微软雅黑"/>
          <w:color w:val="auto"/>
          <w:sz w:val="24"/>
          <w:highlight w:val="none"/>
        </w:rPr>
        <w:t>项目名称：</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红谷滩区现代服务产业园能耗监测系统技术服务（第二次）</w:t>
      </w:r>
    </w:p>
    <w:p w14:paraId="2B2264A2">
      <w:pPr>
        <w:spacing w:line="276" w:lineRule="auto"/>
        <w:rPr>
          <w:rFonts w:hint="eastAsia" w:ascii="微软雅黑" w:hAnsi="微软雅黑" w:eastAsia="微软雅黑"/>
          <w:color w:val="auto"/>
          <w:sz w:val="24"/>
          <w:highlight w:val="none"/>
          <w:u w:val="single"/>
          <w:lang w:eastAsia="zh-CN"/>
        </w:rPr>
      </w:pPr>
      <w:r>
        <w:rPr>
          <w:rFonts w:hint="eastAsia" w:ascii="微软雅黑" w:hAnsi="微软雅黑" w:eastAsia="微软雅黑"/>
          <w:color w:val="auto"/>
          <w:sz w:val="24"/>
          <w:highlight w:val="none"/>
        </w:rPr>
        <w:t>采购编号：</w:t>
      </w:r>
      <w:r>
        <w:rPr>
          <w:rFonts w:hint="eastAsia" w:ascii="微软雅黑" w:hAnsi="微软雅黑" w:eastAsia="微软雅黑"/>
          <w:color w:val="auto"/>
          <w:sz w:val="24"/>
          <w:szCs w:val="24"/>
          <w:highlight w:val="none"/>
          <w:lang w:eastAsia="zh-CN"/>
        </w:rPr>
        <w:t>NCCH2026-B0404-1</w:t>
      </w:r>
    </w:p>
    <w:tbl>
      <w:tblPr>
        <w:tblStyle w:val="21"/>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276"/>
        <w:gridCol w:w="1843"/>
        <w:gridCol w:w="1701"/>
        <w:gridCol w:w="970"/>
        <w:gridCol w:w="992"/>
        <w:gridCol w:w="1342"/>
      </w:tblGrid>
      <w:tr w14:paraId="22DF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27" w:type="dxa"/>
            <w:vAlign w:val="center"/>
          </w:tcPr>
          <w:p w14:paraId="0F0B015D">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序号</w:t>
            </w:r>
          </w:p>
        </w:tc>
        <w:tc>
          <w:tcPr>
            <w:tcW w:w="1276" w:type="dxa"/>
            <w:vAlign w:val="center"/>
          </w:tcPr>
          <w:p w14:paraId="5AD2E9EA">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条目名称</w:t>
            </w:r>
          </w:p>
        </w:tc>
        <w:tc>
          <w:tcPr>
            <w:tcW w:w="1843" w:type="dxa"/>
            <w:vAlign w:val="center"/>
          </w:tcPr>
          <w:p w14:paraId="4295C934">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比选文件的</w:t>
            </w:r>
          </w:p>
          <w:p w14:paraId="42026932">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商务条款</w:t>
            </w:r>
          </w:p>
        </w:tc>
        <w:tc>
          <w:tcPr>
            <w:tcW w:w="1701" w:type="dxa"/>
            <w:vAlign w:val="center"/>
          </w:tcPr>
          <w:p w14:paraId="79A55C5C">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响应文件的</w:t>
            </w:r>
          </w:p>
          <w:p w14:paraId="6EDD0938">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商务条款</w:t>
            </w:r>
          </w:p>
        </w:tc>
        <w:tc>
          <w:tcPr>
            <w:tcW w:w="970" w:type="dxa"/>
            <w:vAlign w:val="center"/>
          </w:tcPr>
          <w:p w14:paraId="29F4C9B3">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响应/偏离</w:t>
            </w:r>
          </w:p>
        </w:tc>
        <w:tc>
          <w:tcPr>
            <w:tcW w:w="992" w:type="dxa"/>
            <w:vAlign w:val="center"/>
          </w:tcPr>
          <w:p w14:paraId="3DACEBED">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差异说明</w:t>
            </w:r>
          </w:p>
        </w:tc>
        <w:tc>
          <w:tcPr>
            <w:tcW w:w="1342" w:type="dxa"/>
          </w:tcPr>
          <w:p w14:paraId="0AF554F1">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证明材料所在页码（如有）</w:t>
            </w:r>
          </w:p>
        </w:tc>
      </w:tr>
      <w:tr w14:paraId="1A67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827" w:type="dxa"/>
            <w:vAlign w:val="center"/>
          </w:tcPr>
          <w:p w14:paraId="5E2B711D">
            <w:pPr>
              <w:spacing w:line="432" w:lineRule="auto"/>
              <w:rPr>
                <w:rFonts w:ascii="微软雅黑" w:hAnsi="微软雅黑" w:eastAsia="微软雅黑"/>
                <w:color w:val="auto"/>
                <w:sz w:val="24"/>
                <w:highlight w:val="none"/>
              </w:rPr>
            </w:pPr>
          </w:p>
        </w:tc>
        <w:tc>
          <w:tcPr>
            <w:tcW w:w="1276" w:type="dxa"/>
            <w:vAlign w:val="center"/>
          </w:tcPr>
          <w:p w14:paraId="3682915C">
            <w:pPr>
              <w:spacing w:line="432" w:lineRule="auto"/>
              <w:rPr>
                <w:rFonts w:ascii="微软雅黑" w:hAnsi="微软雅黑" w:eastAsia="微软雅黑"/>
                <w:color w:val="auto"/>
                <w:sz w:val="24"/>
                <w:highlight w:val="none"/>
              </w:rPr>
            </w:pPr>
          </w:p>
        </w:tc>
        <w:tc>
          <w:tcPr>
            <w:tcW w:w="1843" w:type="dxa"/>
            <w:vAlign w:val="center"/>
          </w:tcPr>
          <w:p w14:paraId="72DC2549">
            <w:pPr>
              <w:spacing w:line="432" w:lineRule="auto"/>
              <w:ind w:right="-71" w:rightChars="-34"/>
              <w:rPr>
                <w:rFonts w:ascii="微软雅黑" w:hAnsi="微软雅黑" w:eastAsia="微软雅黑"/>
                <w:color w:val="auto"/>
                <w:sz w:val="24"/>
                <w:highlight w:val="none"/>
              </w:rPr>
            </w:pPr>
          </w:p>
        </w:tc>
        <w:tc>
          <w:tcPr>
            <w:tcW w:w="1701" w:type="dxa"/>
            <w:vAlign w:val="center"/>
          </w:tcPr>
          <w:p w14:paraId="017486F1">
            <w:pPr>
              <w:spacing w:line="432" w:lineRule="auto"/>
              <w:rPr>
                <w:rFonts w:ascii="微软雅黑" w:hAnsi="微软雅黑" w:eastAsia="微软雅黑"/>
                <w:color w:val="auto"/>
                <w:sz w:val="24"/>
                <w:highlight w:val="none"/>
              </w:rPr>
            </w:pPr>
          </w:p>
        </w:tc>
        <w:tc>
          <w:tcPr>
            <w:tcW w:w="970" w:type="dxa"/>
            <w:vAlign w:val="center"/>
          </w:tcPr>
          <w:p w14:paraId="74134B91">
            <w:pPr>
              <w:spacing w:line="432" w:lineRule="auto"/>
              <w:rPr>
                <w:rFonts w:ascii="微软雅黑" w:hAnsi="微软雅黑" w:eastAsia="微软雅黑"/>
                <w:color w:val="auto"/>
                <w:sz w:val="24"/>
                <w:highlight w:val="none"/>
              </w:rPr>
            </w:pPr>
          </w:p>
        </w:tc>
        <w:tc>
          <w:tcPr>
            <w:tcW w:w="992" w:type="dxa"/>
            <w:vAlign w:val="center"/>
          </w:tcPr>
          <w:p w14:paraId="3BC82D0B">
            <w:pPr>
              <w:spacing w:line="432" w:lineRule="auto"/>
              <w:rPr>
                <w:rFonts w:ascii="微软雅黑" w:hAnsi="微软雅黑" w:eastAsia="微软雅黑"/>
                <w:color w:val="auto"/>
                <w:sz w:val="24"/>
                <w:highlight w:val="none"/>
              </w:rPr>
            </w:pPr>
          </w:p>
        </w:tc>
        <w:tc>
          <w:tcPr>
            <w:tcW w:w="1342" w:type="dxa"/>
          </w:tcPr>
          <w:p w14:paraId="2EFCCC00">
            <w:pPr>
              <w:spacing w:line="432" w:lineRule="auto"/>
              <w:rPr>
                <w:rFonts w:ascii="微软雅黑" w:hAnsi="微软雅黑" w:eastAsia="微软雅黑"/>
                <w:color w:val="auto"/>
                <w:sz w:val="24"/>
                <w:highlight w:val="none"/>
              </w:rPr>
            </w:pPr>
          </w:p>
        </w:tc>
      </w:tr>
      <w:tr w14:paraId="3C47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827" w:type="dxa"/>
            <w:vAlign w:val="center"/>
          </w:tcPr>
          <w:p w14:paraId="2B5F78E2">
            <w:pPr>
              <w:spacing w:line="432" w:lineRule="auto"/>
              <w:rPr>
                <w:rFonts w:ascii="微软雅黑" w:hAnsi="微软雅黑" w:eastAsia="微软雅黑"/>
                <w:color w:val="auto"/>
                <w:sz w:val="24"/>
                <w:highlight w:val="none"/>
              </w:rPr>
            </w:pPr>
          </w:p>
        </w:tc>
        <w:tc>
          <w:tcPr>
            <w:tcW w:w="1276" w:type="dxa"/>
            <w:vAlign w:val="center"/>
          </w:tcPr>
          <w:p w14:paraId="0DF37891">
            <w:pPr>
              <w:spacing w:line="432" w:lineRule="auto"/>
              <w:rPr>
                <w:rFonts w:ascii="微软雅黑" w:hAnsi="微软雅黑" w:eastAsia="微软雅黑"/>
                <w:color w:val="auto"/>
                <w:sz w:val="24"/>
                <w:highlight w:val="none"/>
              </w:rPr>
            </w:pPr>
          </w:p>
        </w:tc>
        <w:tc>
          <w:tcPr>
            <w:tcW w:w="1843" w:type="dxa"/>
            <w:vAlign w:val="center"/>
          </w:tcPr>
          <w:p w14:paraId="55510623">
            <w:pPr>
              <w:spacing w:line="432" w:lineRule="auto"/>
              <w:rPr>
                <w:rFonts w:ascii="微软雅黑" w:hAnsi="微软雅黑" w:eastAsia="微软雅黑"/>
                <w:color w:val="auto"/>
                <w:sz w:val="24"/>
                <w:highlight w:val="none"/>
              </w:rPr>
            </w:pPr>
          </w:p>
        </w:tc>
        <w:tc>
          <w:tcPr>
            <w:tcW w:w="1701" w:type="dxa"/>
            <w:vAlign w:val="center"/>
          </w:tcPr>
          <w:p w14:paraId="4BED2B53">
            <w:pPr>
              <w:spacing w:line="432" w:lineRule="auto"/>
              <w:rPr>
                <w:rFonts w:ascii="微软雅黑" w:hAnsi="微软雅黑" w:eastAsia="微软雅黑"/>
                <w:color w:val="auto"/>
                <w:sz w:val="24"/>
                <w:highlight w:val="none"/>
              </w:rPr>
            </w:pPr>
          </w:p>
        </w:tc>
        <w:tc>
          <w:tcPr>
            <w:tcW w:w="970" w:type="dxa"/>
            <w:vAlign w:val="center"/>
          </w:tcPr>
          <w:p w14:paraId="489C97E1">
            <w:pPr>
              <w:spacing w:line="432" w:lineRule="auto"/>
              <w:rPr>
                <w:rFonts w:ascii="微软雅黑" w:hAnsi="微软雅黑" w:eastAsia="微软雅黑"/>
                <w:color w:val="auto"/>
                <w:sz w:val="24"/>
                <w:highlight w:val="none"/>
              </w:rPr>
            </w:pPr>
          </w:p>
        </w:tc>
        <w:tc>
          <w:tcPr>
            <w:tcW w:w="992" w:type="dxa"/>
            <w:vAlign w:val="center"/>
          </w:tcPr>
          <w:p w14:paraId="1B5387B0">
            <w:pPr>
              <w:spacing w:line="432" w:lineRule="auto"/>
              <w:rPr>
                <w:rFonts w:ascii="微软雅黑" w:hAnsi="微软雅黑" w:eastAsia="微软雅黑"/>
                <w:color w:val="auto"/>
                <w:sz w:val="24"/>
                <w:highlight w:val="none"/>
              </w:rPr>
            </w:pPr>
          </w:p>
        </w:tc>
        <w:tc>
          <w:tcPr>
            <w:tcW w:w="1342" w:type="dxa"/>
          </w:tcPr>
          <w:p w14:paraId="6FF899AA">
            <w:pPr>
              <w:spacing w:line="432" w:lineRule="auto"/>
              <w:rPr>
                <w:rFonts w:ascii="微软雅黑" w:hAnsi="微软雅黑" w:eastAsia="微软雅黑"/>
                <w:color w:val="auto"/>
                <w:sz w:val="24"/>
                <w:highlight w:val="none"/>
              </w:rPr>
            </w:pPr>
          </w:p>
        </w:tc>
      </w:tr>
      <w:tr w14:paraId="17AB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827" w:type="dxa"/>
            <w:vAlign w:val="center"/>
          </w:tcPr>
          <w:p w14:paraId="3578C39C">
            <w:pPr>
              <w:spacing w:line="432" w:lineRule="auto"/>
              <w:rPr>
                <w:rFonts w:ascii="微软雅黑" w:hAnsi="微软雅黑" w:eastAsia="微软雅黑"/>
                <w:color w:val="auto"/>
                <w:sz w:val="24"/>
                <w:highlight w:val="none"/>
              </w:rPr>
            </w:pPr>
          </w:p>
        </w:tc>
        <w:tc>
          <w:tcPr>
            <w:tcW w:w="1276" w:type="dxa"/>
            <w:vAlign w:val="center"/>
          </w:tcPr>
          <w:p w14:paraId="2D1C378A">
            <w:pPr>
              <w:spacing w:line="432" w:lineRule="auto"/>
              <w:rPr>
                <w:rFonts w:ascii="微软雅黑" w:hAnsi="微软雅黑" w:eastAsia="微软雅黑"/>
                <w:color w:val="auto"/>
                <w:sz w:val="24"/>
                <w:highlight w:val="none"/>
              </w:rPr>
            </w:pPr>
          </w:p>
        </w:tc>
        <w:tc>
          <w:tcPr>
            <w:tcW w:w="1843" w:type="dxa"/>
            <w:vAlign w:val="center"/>
          </w:tcPr>
          <w:p w14:paraId="7ECD0828">
            <w:pPr>
              <w:spacing w:line="432" w:lineRule="auto"/>
              <w:rPr>
                <w:rFonts w:ascii="微软雅黑" w:hAnsi="微软雅黑" w:eastAsia="微软雅黑"/>
                <w:color w:val="auto"/>
                <w:sz w:val="24"/>
                <w:highlight w:val="none"/>
              </w:rPr>
            </w:pPr>
          </w:p>
        </w:tc>
        <w:tc>
          <w:tcPr>
            <w:tcW w:w="1701" w:type="dxa"/>
            <w:vAlign w:val="center"/>
          </w:tcPr>
          <w:p w14:paraId="03974F82">
            <w:pPr>
              <w:spacing w:line="432" w:lineRule="auto"/>
              <w:rPr>
                <w:rFonts w:ascii="微软雅黑" w:hAnsi="微软雅黑" w:eastAsia="微软雅黑"/>
                <w:color w:val="auto"/>
                <w:sz w:val="24"/>
                <w:highlight w:val="none"/>
              </w:rPr>
            </w:pPr>
          </w:p>
        </w:tc>
        <w:tc>
          <w:tcPr>
            <w:tcW w:w="970" w:type="dxa"/>
            <w:vAlign w:val="center"/>
          </w:tcPr>
          <w:p w14:paraId="361581E5">
            <w:pPr>
              <w:spacing w:line="432" w:lineRule="auto"/>
              <w:rPr>
                <w:rFonts w:ascii="微软雅黑" w:hAnsi="微软雅黑" w:eastAsia="微软雅黑"/>
                <w:color w:val="auto"/>
                <w:sz w:val="24"/>
                <w:highlight w:val="none"/>
              </w:rPr>
            </w:pPr>
          </w:p>
        </w:tc>
        <w:tc>
          <w:tcPr>
            <w:tcW w:w="992" w:type="dxa"/>
            <w:vAlign w:val="center"/>
          </w:tcPr>
          <w:p w14:paraId="2B525FD2">
            <w:pPr>
              <w:spacing w:line="432" w:lineRule="auto"/>
              <w:rPr>
                <w:rFonts w:ascii="微软雅黑" w:hAnsi="微软雅黑" w:eastAsia="微软雅黑"/>
                <w:color w:val="auto"/>
                <w:sz w:val="24"/>
                <w:highlight w:val="none"/>
              </w:rPr>
            </w:pPr>
          </w:p>
        </w:tc>
        <w:tc>
          <w:tcPr>
            <w:tcW w:w="1342" w:type="dxa"/>
          </w:tcPr>
          <w:p w14:paraId="13683FE1">
            <w:pPr>
              <w:spacing w:line="432" w:lineRule="auto"/>
              <w:rPr>
                <w:rFonts w:ascii="微软雅黑" w:hAnsi="微软雅黑" w:eastAsia="微软雅黑"/>
                <w:color w:val="auto"/>
                <w:sz w:val="24"/>
                <w:highlight w:val="none"/>
              </w:rPr>
            </w:pPr>
          </w:p>
        </w:tc>
      </w:tr>
      <w:tr w14:paraId="6175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827" w:type="dxa"/>
            <w:vAlign w:val="center"/>
          </w:tcPr>
          <w:p w14:paraId="1BA5D4DE">
            <w:pPr>
              <w:spacing w:line="432" w:lineRule="auto"/>
              <w:rPr>
                <w:rFonts w:ascii="微软雅黑" w:hAnsi="微软雅黑" w:eastAsia="微软雅黑"/>
                <w:color w:val="auto"/>
                <w:sz w:val="24"/>
                <w:highlight w:val="none"/>
              </w:rPr>
            </w:pPr>
          </w:p>
        </w:tc>
        <w:tc>
          <w:tcPr>
            <w:tcW w:w="1276" w:type="dxa"/>
            <w:vAlign w:val="center"/>
          </w:tcPr>
          <w:p w14:paraId="2BF80FF8">
            <w:pPr>
              <w:spacing w:line="432" w:lineRule="auto"/>
              <w:rPr>
                <w:rFonts w:ascii="微软雅黑" w:hAnsi="微软雅黑" w:eastAsia="微软雅黑"/>
                <w:color w:val="auto"/>
                <w:sz w:val="24"/>
                <w:highlight w:val="none"/>
              </w:rPr>
            </w:pPr>
          </w:p>
        </w:tc>
        <w:tc>
          <w:tcPr>
            <w:tcW w:w="1843" w:type="dxa"/>
            <w:vAlign w:val="center"/>
          </w:tcPr>
          <w:p w14:paraId="24CB8EB4">
            <w:pPr>
              <w:spacing w:line="432" w:lineRule="auto"/>
              <w:rPr>
                <w:rFonts w:ascii="微软雅黑" w:hAnsi="微软雅黑" w:eastAsia="微软雅黑"/>
                <w:color w:val="auto"/>
                <w:sz w:val="24"/>
                <w:highlight w:val="none"/>
              </w:rPr>
            </w:pPr>
          </w:p>
        </w:tc>
        <w:tc>
          <w:tcPr>
            <w:tcW w:w="1701" w:type="dxa"/>
            <w:vAlign w:val="center"/>
          </w:tcPr>
          <w:p w14:paraId="5C816E53">
            <w:pPr>
              <w:spacing w:line="432" w:lineRule="auto"/>
              <w:rPr>
                <w:rFonts w:ascii="微软雅黑" w:hAnsi="微软雅黑" w:eastAsia="微软雅黑"/>
                <w:color w:val="auto"/>
                <w:sz w:val="24"/>
                <w:highlight w:val="none"/>
              </w:rPr>
            </w:pPr>
          </w:p>
        </w:tc>
        <w:tc>
          <w:tcPr>
            <w:tcW w:w="970" w:type="dxa"/>
            <w:vAlign w:val="center"/>
          </w:tcPr>
          <w:p w14:paraId="763A3731">
            <w:pPr>
              <w:spacing w:line="432" w:lineRule="auto"/>
              <w:rPr>
                <w:rFonts w:ascii="微软雅黑" w:hAnsi="微软雅黑" w:eastAsia="微软雅黑"/>
                <w:color w:val="auto"/>
                <w:sz w:val="24"/>
                <w:highlight w:val="none"/>
              </w:rPr>
            </w:pPr>
          </w:p>
        </w:tc>
        <w:tc>
          <w:tcPr>
            <w:tcW w:w="992" w:type="dxa"/>
            <w:vAlign w:val="center"/>
          </w:tcPr>
          <w:p w14:paraId="72515792">
            <w:pPr>
              <w:spacing w:line="432" w:lineRule="auto"/>
              <w:rPr>
                <w:rFonts w:ascii="微软雅黑" w:hAnsi="微软雅黑" w:eastAsia="微软雅黑"/>
                <w:color w:val="auto"/>
                <w:sz w:val="24"/>
                <w:highlight w:val="none"/>
              </w:rPr>
            </w:pPr>
          </w:p>
        </w:tc>
        <w:tc>
          <w:tcPr>
            <w:tcW w:w="1342" w:type="dxa"/>
          </w:tcPr>
          <w:p w14:paraId="7CBA5D9D">
            <w:pPr>
              <w:spacing w:line="432" w:lineRule="auto"/>
              <w:rPr>
                <w:rFonts w:ascii="微软雅黑" w:hAnsi="微软雅黑" w:eastAsia="微软雅黑"/>
                <w:color w:val="auto"/>
                <w:sz w:val="24"/>
                <w:highlight w:val="none"/>
              </w:rPr>
            </w:pPr>
          </w:p>
        </w:tc>
      </w:tr>
      <w:tr w14:paraId="4E8B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827" w:type="dxa"/>
            <w:vAlign w:val="center"/>
          </w:tcPr>
          <w:p w14:paraId="7AFADCC7">
            <w:pPr>
              <w:spacing w:line="432" w:lineRule="auto"/>
              <w:rPr>
                <w:rFonts w:ascii="微软雅黑" w:hAnsi="微软雅黑" w:eastAsia="微软雅黑"/>
                <w:color w:val="auto"/>
                <w:sz w:val="24"/>
                <w:highlight w:val="none"/>
              </w:rPr>
            </w:pPr>
          </w:p>
        </w:tc>
        <w:tc>
          <w:tcPr>
            <w:tcW w:w="1276" w:type="dxa"/>
            <w:vAlign w:val="center"/>
          </w:tcPr>
          <w:p w14:paraId="46D78E9C">
            <w:pPr>
              <w:spacing w:line="432" w:lineRule="auto"/>
              <w:rPr>
                <w:rFonts w:ascii="微软雅黑" w:hAnsi="微软雅黑" w:eastAsia="微软雅黑"/>
                <w:color w:val="auto"/>
                <w:sz w:val="24"/>
                <w:highlight w:val="none"/>
              </w:rPr>
            </w:pPr>
          </w:p>
        </w:tc>
        <w:tc>
          <w:tcPr>
            <w:tcW w:w="1843" w:type="dxa"/>
            <w:vAlign w:val="center"/>
          </w:tcPr>
          <w:p w14:paraId="3237F6A4">
            <w:pPr>
              <w:spacing w:line="432" w:lineRule="auto"/>
              <w:rPr>
                <w:rFonts w:ascii="微软雅黑" w:hAnsi="微软雅黑" w:eastAsia="微软雅黑"/>
                <w:color w:val="auto"/>
                <w:sz w:val="24"/>
                <w:highlight w:val="none"/>
              </w:rPr>
            </w:pPr>
          </w:p>
        </w:tc>
        <w:tc>
          <w:tcPr>
            <w:tcW w:w="1701" w:type="dxa"/>
            <w:vAlign w:val="center"/>
          </w:tcPr>
          <w:p w14:paraId="5AEE1131">
            <w:pPr>
              <w:spacing w:line="432" w:lineRule="auto"/>
              <w:rPr>
                <w:rFonts w:ascii="微软雅黑" w:hAnsi="微软雅黑" w:eastAsia="微软雅黑"/>
                <w:color w:val="auto"/>
                <w:sz w:val="24"/>
                <w:highlight w:val="none"/>
              </w:rPr>
            </w:pPr>
          </w:p>
        </w:tc>
        <w:tc>
          <w:tcPr>
            <w:tcW w:w="970" w:type="dxa"/>
            <w:vAlign w:val="center"/>
          </w:tcPr>
          <w:p w14:paraId="44C5D500">
            <w:pPr>
              <w:spacing w:line="432" w:lineRule="auto"/>
              <w:rPr>
                <w:rFonts w:ascii="微软雅黑" w:hAnsi="微软雅黑" w:eastAsia="微软雅黑"/>
                <w:color w:val="auto"/>
                <w:sz w:val="24"/>
                <w:highlight w:val="none"/>
              </w:rPr>
            </w:pPr>
          </w:p>
        </w:tc>
        <w:tc>
          <w:tcPr>
            <w:tcW w:w="992" w:type="dxa"/>
            <w:vAlign w:val="center"/>
          </w:tcPr>
          <w:p w14:paraId="31E4E175">
            <w:pPr>
              <w:spacing w:line="432" w:lineRule="auto"/>
              <w:rPr>
                <w:rFonts w:ascii="微软雅黑" w:hAnsi="微软雅黑" w:eastAsia="微软雅黑"/>
                <w:color w:val="auto"/>
                <w:sz w:val="24"/>
                <w:highlight w:val="none"/>
              </w:rPr>
            </w:pPr>
          </w:p>
        </w:tc>
        <w:tc>
          <w:tcPr>
            <w:tcW w:w="1342" w:type="dxa"/>
          </w:tcPr>
          <w:p w14:paraId="157AAC48">
            <w:pPr>
              <w:spacing w:line="432" w:lineRule="auto"/>
              <w:rPr>
                <w:rFonts w:ascii="微软雅黑" w:hAnsi="微软雅黑" w:eastAsia="微软雅黑"/>
                <w:color w:val="auto"/>
                <w:sz w:val="24"/>
                <w:highlight w:val="none"/>
              </w:rPr>
            </w:pPr>
          </w:p>
        </w:tc>
      </w:tr>
    </w:tbl>
    <w:p w14:paraId="6B688ED4">
      <w:pPr>
        <w:ind w:firstLine="420" w:firstLineChars="200"/>
        <w:rPr>
          <w:rFonts w:ascii="微软雅黑" w:hAnsi="微软雅黑" w:eastAsia="微软雅黑"/>
          <w:color w:val="auto"/>
          <w:kern w:val="0"/>
          <w:highlight w:val="none"/>
        </w:rPr>
      </w:pPr>
    </w:p>
    <w:p w14:paraId="2BFDEBF1">
      <w:pPr>
        <w:spacing w:line="432" w:lineRule="auto"/>
        <w:rPr>
          <w:rFonts w:ascii="微软雅黑" w:hAnsi="微软雅黑" w:eastAsia="微软雅黑"/>
          <w:snapToGrid w:val="0"/>
          <w:color w:val="auto"/>
          <w:kern w:val="0"/>
          <w:sz w:val="24"/>
          <w:szCs w:val="24"/>
          <w:highlight w:val="none"/>
        </w:rPr>
      </w:pPr>
      <w:r>
        <w:rPr>
          <w:rFonts w:hint="eastAsia" w:ascii="微软雅黑" w:hAnsi="微软雅黑" w:eastAsia="微软雅黑"/>
          <w:color w:val="auto"/>
          <w:sz w:val="24"/>
          <w:szCs w:val="24"/>
          <w:highlight w:val="none"/>
          <w:lang w:val="en-GB"/>
        </w:rPr>
        <w:t>供应商</w:t>
      </w:r>
      <w:r>
        <w:rPr>
          <w:rFonts w:hint="eastAsia" w:ascii="微软雅黑" w:hAnsi="微软雅黑" w:eastAsia="微软雅黑"/>
          <w:color w:val="auto"/>
          <w:sz w:val="24"/>
          <w:szCs w:val="24"/>
          <w:highlight w:val="none"/>
        </w:rPr>
        <w:t>名称</w:t>
      </w:r>
      <w:r>
        <w:rPr>
          <w:rFonts w:hint="eastAsia" w:ascii="微软雅黑" w:hAnsi="微软雅黑" w:eastAsia="微软雅黑"/>
          <w:color w:val="auto"/>
          <w:sz w:val="24"/>
          <w:highlight w:val="none"/>
        </w:rPr>
        <w:t>（盖章）</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u w:val="single"/>
        </w:rPr>
        <w:t xml:space="preserve">                                   </w:t>
      </w:r>
    </w:p>
    <w:p w14:paraId="596D0BF2">
      <w:pPr>
        <w:spacing w:line="432" w:lineRule="auto"/>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hint="eastAsia" w:ascii="微软雅黑" w:hAnsi="微软雅黑" w:eastAsia="微软雅黑"/>
          <w:color w:val="auto"/>
          <w:sz w:val="24"/>
          <w:szCs w:val="24"/>
          <w:highlight w:val="none"/>
        </w:rPr>
        <w:t>（签字）：</w:t>
      </w:r>
      <w:r>
        <w:rPr>
          <w:rFonts w:hint="eastAsia" w:ascii="微软雅黑" w:hAnsi="微软雅黑" w:eastAsia="微软雅黑"/>
          <w:color w:val="auto"/>
          <w:sz w:val="24"/>
          <w:szCs w:val="24"/>
          <w:highlight w:val="none"/>
          <w:u w:val="single"/>
        </w:rPr>
        <w:t xml:space="preserve">                       </w:t>
      </w:r>
    </w:p>
    <w:p w14:paraId="24DCFDD4">
      <w:pPr>
        <w:ind w:firstLine="480" w:firstLineChars="200"/>
        <w:rPr>
          <w:rFonts w:ascii="微软雅黑" w:hAnsi="微软雅黑" w:eastAsia="微软雅黑"/>
          <w:color w:val="auto"/>
          <w:sz w:val="24"/>
          <w:szCs w:val="24"/>
          <w:highlight w:val="none"/>
        </w:rPr>
      </w:pPr>
      <w:r>
        <w:rPr>
          <w:rFonts w:hint="eastAsia" w:ascii="微软雅黑" w:hAnsi="微软雅黑" w:eastAsia="微软雅黑"/>
          <w:snapToGrid w:val="0"/>
          <w:color w:val="auto"/>
          <w:kern w:val="0"/>
          <w:sz w:val="24"/>
          <w:szCs w:val="24"/>
          <w:highlight w:val="none"/>
        </w:rPr>
        <w:t xml:space="preserve">                                                      年    月    日</w:t>
      </w:r>
    </w:p>
    <w:p w14:paraId="161E3A9B">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注：1、商务条款包括</w:t>
      </w:r>
      <w:r>
        <w:rPr>
          <w:rFonts w:hint="eastAsia" w:ascii="微软雅黑" w:hAnsi="微软雅黑" w:eastAsia="微软雅黑"/>
          <w:color w:val="auto"/>
          <w:szCs w:val="21"/>
          <w:highlight w:val="none"/>
          <w:lang w:val="en-GB" w:eastAsia="zh-CN"/>
        </w:rPr>
        <w:t>工期</w:t>
      </w:r>
      <w:r>
        <w:rPr>
          <w:rFonts w:hint="eastAsia" w:ascii="微软雅黑" w:hAnsi="微软雅黑" w:eastAsia="微软雅黑"/>
          <w:color w:val="auto"/>
          <w:szCs w:val="21"/>
          <w:highlight w:val="none"/>
          <w:lang w:val="en-GB"/>
        </w:rPr>
        <w:t>和履约保证金等内容；</w:t>
      </w:r>
    </w:p>
    <w:p w14:paraId="05382E30">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2、供应商应对照比选文件要求的商务条款内容，逐条说明已对比选文件要求的商务条款作出了响应或偏离。供应商应如实填写偏离情况，如果供应商的响应承诺明显不符合采购要求却在偏离情况中作“满足”、“无偏离”、“正偏离”等满足比选文件要求的承诺时，经比选小组认定后，按虚假响应处理。供应商提供虚假响应文件及材料谋取成交，列入不良行为记录名单，在一至三年内禁止参加采购活动；</w:t>
      </w:r>
    </w:p>
    <w:p w14:paraId="20FADCA1">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3、以上响应/偏离内容应在说明栏中注明该条在比选响应文件中相关部分（或页码）有相应的依据。</w:t>
      </w:r>
    </w:p>
    <w:p w14:paraId="65CD080F">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4、供应商所供服务如与比选文件要求的商务条款不一致，则需在上表说明栏中注明；</w:t>
      </w:r>
    </w:p>
    <w:p w14:paraId="2DE7E2B0">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5、如不按要求填写，产生的一切后果由供应商负责。</w:t>
      </w:r>
    </w:p>
    <w:p w14:paraId="41263830">
      <w:pPr>
        <w:pStyle w:val="4"/>
        <w:numPr>
          <w:ilvl w:val="0"/>
          <w:numId w:val="5"/>
        </w:numPr>
        <w:spacing w:before="0" w:after="0" w:line="360" w:lineRule="auto"/>
        <w:ind w:left="1077" w:hanging="1077"/>
        <w:rPr>
          <w:rFonts w:ascii="微软雅黑" w:hAnsi="微软雅黑" w:eastAsia="微软雅黑"/>
          <w:color w:val="auto"/>
          <w:highlight w:val="none"/>
        </w:rPr>
      </w:pPr>
      <w:bookmarkStart w:id="180" w:name="_Toc413846047"/>
      <w:bookmarkStart w:id="181" w:name="_Toc8377130"/>
      <w:bookmarkStart w:id="182" w:name="_Toc21617"/>
      <w:bookmarkStart w:id="183" w:name="_Toc319584579"/>
      <w:r>
        <w:rPr>
          <w:rFonts w:hint="eastAsia" w:ascii="微软雅黑" w:hAnsi="微软雅黑" w:eastAsia="微软雅黑"/>
          <w:color w:val="auto"/>
          <w:sz w:val="36"/>
          <w:szCs w:val="36"/>
          <w:highlight w:val="none"/>
        </w:rPr>
        <w:t>法定代表人授权书</w:t>
      </w:r>
      <w:bookmarkEnd w:id="180"/>
      <w:r>
        <w:rPr>
          <w:rFonts w:hint="eastAsia" w:ascii="微软雅黑" w:hAnsi="微软雅黑" w:eastAsia="微软雅黑"/>
          <w:color w:val="auto"/>
          <w:sz w:val="36"/>
          <w:szCs w:val="36"/>
          <w:highlight w:val="none"/>
        </w:rPr>
        <w:t>*</w:t>
      </w:r>
      <w:bookmarkEnd w:id="181"/>
      <w:bookmarkEnd w:id="182"/>
    </w:p>
    <w:p w14:paraId="40CEBDF1">
      <w:pPr>
        <w:spacing w:line="540" w:lineRule="exact"/>
        <w:ind w:firstLine="64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（供应商全称）法定代表人</w:t>
      </w:r>
      <w:r>
        <w:rPr>
          <w:rFonts w:hint="eastAsia" w:ascii="微软雅黑" w:hAnsi="微软雅黑" w:eastAsia="微软雅黑"/>
          <w:b/>
          <w:color w:val="auto"/>
          <w:sz w:val="24"/>
          <w:szCs w:val="24"/>
          <w:highlight w:val="none"/>
          <w:u w:val="single"/>
        </w:rPr>
        <w:t xml:space="preserve">       </w:t>
      </w:r>
      <w:r>
        <w:rPr>
          <w:rFonts w:hint="eastAsia" w:ascii="微软雅黑" w:hAnsi="微软雅黑" w:eastAsia="微软雅黑"/>
          <w:color w:val="auto"/>
          <w:sz w:val="24"/>
          <w:szCs w:val="24"/>
          <w:highlight w:val="none"/>
        </w:rPr>
        <w:t>（姓名）代表本单位授权</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（被授权人的姓名）为本单位的合法代理人，参加贵单位组织的</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红谷滩区现代服务产业园能耗监测系统技术服务（第二次）</w:t>
      </w:r>
      <w:r>
        <w:rPr>
          <w:rFonts w:hint="eastAsia" w:ascii="微软雅黑" w:hAnsi="微软雅黑" w:eastAsia="微软雅黑"/>
          <w:color w:val="auto"/>
          <w:sz w:val="24"/>
          <w:szCs w:val="24"/>
          <w:highlight w:val="none"/>
        </w:rPr>
        <w:t>（采购编号：</w:t>
      </w:r>
      <w:r>
        <w:rPr>
          <w:rFonts w:hint="eastAsia" w:ascii="微软雅黑" w:hAnsi="微软雅黑" w:eastAsia="微软雅黑"/>
          <w:color w:val="auto"/>
          <w:sz w:val="24"/>
          <w:szCs w:val="24"/>
          <w:highlight w:val="none"/>
          <w:lang w:eastAsia="zh-CN"/>
        </w:rPr>
        <w:t>NCCH2026-B0404-1</w:t>
      </w:r>
      <w:r>
        <w:rPr>
          <w:rFonts w:hint="eastAsia" w:ascii="微软雅黑" w:hAnsi="微软雅黑" w:eastAsia="微软雅黑"/>
          <w:color w:val="auto"/>
          <w:sz w:val="24"/>
          <w:szCs w:val="24"/>
          <w:highlight w:val="none"/>
        </w:rPr>
        <w:t>）的比选响应、合同签订以及合同执行等活动，其可以本单位名义处理一切与之有关的事务。</w:t>
      </w:r>
    </w:p>
    <w:p w14:paraId="7F74E076">
      <w:pPr>
        <w:spacing w:line="540" w:lineRule="exact"/>
        <w:ind w:firstLine="645"/>
        <w:jc w:val="center"/>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法定代表人盖章或签字：</w:t>
      </w:r>
    </w:p>
    <w:p w14:paraId="2DC110B1">
      <w:pPr>
        <w:spacing w:line="540" w:lineRule="exact"/>
        <w:ind w:firstLine="645"/>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供应商名称(加盖公章)：</w:t>
      </w:r>
    </w:p>
    <w:p w14:paraId="00FD8EB7">
      <w:pPr>
        <w:spacing w:line="540" w:lineRule="exact"/>
        <w:ind w:left="540" w:leftChars="257" w:firstLine="4440" w:firstLineChars="185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签署日期：</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p w14:paraId="32C8F709">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附：</w:t>
      </w:r>
    </w:p>
    <w:p w14:paraId="0489284A">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被授权人姓名：</w:t>
      </w:r>
    </w:p>
    <w:p w14:paraId="23828E98">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职 务：</w:t>
      </w:r>
    </w:p>
    <w:p w14:paraId="1B3E7984">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电 话：</w:t>
      </w:r>
    </w:p>
    <w:p w14:paraId="67BE0A58">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详细通讯地址：</w:t>
      </w:r>
    </w:p>
    <w:p w14:paraId="4AB8ADBF">
      <w:pPr>
        <w:spacing w:line="540" w:lineRule="exact"/>
        <w:ind w:left="539" w:leftChars="250" w:hanging="14" w:hangingChars="6"/>
        <w:rPr>
          <w:rFonts w:ascii="微软雅黑" w:hAnsi="微软雅黑" w:eastAsia="微软雅黑"/>
          <w:color w:val="auto"/>
          <w:highlight w:val="none"/>
        </w:rPr>
      </w:pPr>
      <w:r>
        <w:rPr>
          <w:rFonts w:hint="eastAsia" w:ascii="微软雅黑" w:hAnsi="微软雅黑" w:eastAsia="微软雅黑"/>
          <w:color w:val="auto"/>
          <w:sz w:val="24"/>
          <w:szCs w:val="24"/>
          <w:highlight w:val="none"/>
        </w:rPr>
        <w:t>邮 政 编 码 ：</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8"/>
        <w:gridCol w:w="4417"/>
      </w:tblGrid>
      <w:tr w14:paraId="3F5BE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6" w:hRule="atLeast"/>
        </w:trPr>
        <w:tc>
          <w:tcPr>
            <w:tcW w:w="4418" w:type="dxa"/>
            <w:vAlign w:val="center"/>
          </w:tcPr>
          <w:p w14:paraId="08752382">
            <w:pPr>
              <w:spacing w:line="360" w:lineRule="auto"/>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法定代表人身份证（正反面复印件）</w:t>
            </w:r>
          </w:p>
        </w:tc>
        <w:tc>
          <w:tcPr>
            <w:tcW w:w="4417" w:type="dxa"/>
            <w:vAlign w:val="center"/>
          </w:tcPr>
          <w:p w14:paraId="0D38EEC5">
            <w:pPr>
              <w:spacing w:line="360" w:lineRule="auto"/>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被授权人身份证（正反面复印件）</w:t>
            </w:r>
          </w:p>
        </w:tc>
      </w:tr>
    </w:tbl>
    <w:p w14:paraId="345CD262">
      <w:pPr>
        <w:spacing w:line="360" w:lineRule="auto"/>
        <w:rPr>
          <w:rFonts w:ascii="微软雅黑" w:hAnsi="微软雅黑" w:eastAsia="微软雅黑"/>
          <w:color w:val="auto"/>
          <w:highlight w:val="none"/>
        </w:rPr>
      </w:pPr>
      <w:r>
        <w:rPr>
          <w:rFonts w:hint="eastAsia" w:ascii="微软雅黑" w:hAnsi="微软雅黑" w:eastAsia="微软雅黑"/>
          <w:color w:val="auto"/>
          <w:highlight w:val="none"/>
        </w:rPr>
        <w:t>注：若法定代表本人参与比选响应则不需此件但必须提供法人代表身份证复印件。</w:t>
      </w:r>
    </w:p>
    <w:p w14:paraId="1E21A634">
      <w:pPr>
        <w:spacing w:beforeLines="50" w:line="500" w:lineRule="exact"/>
        <w:jc w:val="right"/>
        <w:rPr>
          <w:rFonts w:ascii="微软雅黑" w:hAnsi="微软雅黑" w:eastAsia="微软雅黑"/>
          <w:color w:val="auto"/>
          <w:sz w:val="24"/>
          <w:szCs w:val="24"/>
          <w:highlight w:val="none"/>
          <w:u w:val="single"/>
        </w:rPr>
      </w:pPr>
    </w:p>
    <w:p w14:paraId="7075A0EF">
      <w:pPr>
        <w:pStyle w:val="4"/>
        <w:numPr>
          <w:ilvl w:val="0"/>
          <w:numId w:val="5"/>
        </w:numPr>
        <w:spacing w:before="0" w:after="0" w:line="360" w:lineRule="auto"/>
        <w:rPr>
          <w:rFonts w:ascii="微软雅黑" w:hAnsi="微软雅黑" w:eastAsia="微软雅黑"/>
          <w:color w:val="auto"/>
          <w:sz w:val="36"/>
          <w:szCs w:val="36"/>
          <w:highlight w:val="none"/>
        </w:rPr>
      </w:pPr>
      <w:bookmarkStart w:id="184" w:name="_Toc8377132"/>
      <w:bookmarkStart w:id="185" w:name="_Toc29254"/>
      <w:r>
        <w:rPr>
          <w:rFonts w:hint="eastAsia" w:ascii="微软雅黑" w:hAnsi="微软雅黑" w:eastAsia="微软雅黑"/>
          <w:color w:val="auto"/>
          <w:sz w:val="36"/>
          <w:szCs w:val="36"/>
          <w:highlight w:val="none"/>
        </w:rPr>
        <w:t>资格证明文件</w:t>
      </w:r>
      <w:bookmarkEnd w:id="183"/>
      <w:r>
        <w:rPr>
          <w:rFonts w:hint="eastAsia" w:ascii="微软雅黑" w:hAnsi="微软雅黑" w:eastAsia="微软雅黑"/>
          <w:color w:val="auto"/>
          <w:sz w:val="36"/>
          <w:szCs w:val="36"/>
          <w:highlight w:val="none"/>
        </w:rPr>
        <w:t>*</w:t>
      </w:r>
      <w:bookmarkEnd w:id="184"/>
      <w:bookmarkEnd w:id="185"/>
    </w:p>
    <w:p w14:paraId="7EAE1F42">
      <w:pPr>
        <w:spacing w:line="360" w:lineRule="auto"/>
        <w:jc w:val="center"/>
        <w:rPr>
          <w:rFonts w:ascii="微软雅黑" w:hAnsi="微软雅黑" w:eastAsia="微软雅黑"/>
          <w:b/>
          <w:color w:val="auto"/>
          <w:sz w:val="32"/>
          <w:szCs w:val="32"/>
          <w:highlight w:val="none"/>
        </w:rPr>
      </w:pPr>
      <w:bookmarkStart w:id="186" w:name="_Toc470018415"/>
      <w:bookmarkStart w:id="187" w:name="_Toc358980721"/>
      <w:bookmarkStart w:id="188" w:name="_Toc358980722"/>
      <w:bookmarkStart w:id="189" w:name="_Toc474742568"/>
      <w:bookmarkStart w:id="190" w:name="_Toc319584580"/>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1</w:t>
      </w:r>
      <w:r>
        <w:rPr>
          <w:rFonts w:hint="eastAsia" w:ascii="微软雅黑" w:hAnsi="微软雅黑" w:eastAsia="微软雅黑"/>
          <w:b/>
          <w:color w:val="auto"/>
          <w:sz w:val="32"/>
          <w:szCs w:val="32"/>
          <w:highlight w:val="none"/>
        </w:rPr>
        <w:t>具有独立承担民事责任的能力证明*</w:t>
      </w:r>
      <w:bookmarkEnd w:id="186"/>
    </w:p>
    <w:p w14:paraId="26490FE8">
      <w:pPr>
        <w:pStyle w:val="26"/>
        <w:rPr>
          <w:color w:val="auto"/>
          <w:highlight w:val="none"/>
        </w:rPr>
      </w:pPr>
      <w:bookmarkStart w:id="191" w:name="_Toc470018416"/>
      <w:r>
        <w:rPr>
          <w:rFonts w:hint="eastAsia"/>
          <w:color w:val="auto"/>
          <w:highlight w:val="none"/>
        </w:rPr>
        <w:t>提供以下任意一项证明材料：</w:t>
      </w:r>
    </w:p>
    <w:p w14:paraId="69C7B7DD">
      <w:pPr>
        <w:widowControl/>
        <w:numPr>
          <w:ilvl w:val="0"/>
          <w:numId w:val="6"/>
        </w:numPr>
        <w:spacing w:line="360" w:lineRule="auto"/>
        <w:ind w:left="426" w:hanging="426"/>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供应商是企业的，应提供其在工商部门注册的有效</w:t>
      </w:r>
      <w:r>
        <w:rPr>
          <w:rFonts w:hint="eastAsia" w:ascii="微软雅黑" w:hAnsi="微软雅黑" w:eastAsia="微软雅黑"/>
          <w:color w:val="auto"/>
          <w:sz w:val="24"/>
          <w:highlight w:val="none"/>
        </w:rPr>
        <w:t>“三证合一”的</w:t>
      </w:r>
      <w:r>
        <w:rPr>
          <w:rFonts w:ascii="微软雅黑" w:hAnsi="微软雅黑" w:eastAsia="微软雅黑"/>
          <w:color w:val="auto"/>
          <w:sz w:val="24"/>
          <w:highlight w:val="none"/>
        </w:rPr>
        <w:t>“企业法人营业执照”或“营业执照”</w:t>
      </w:r>
      <w:r>
        <w:rPr>
          <w:rFonts w:hint="eastAsia" w:ascii="微软雅黑" w:hAnsi="微软雅黑" w:eastAsia="微软雅黑"/>
          <w:color w:val="auto"/>
          <w:sz w:val="24"/>
          <w:highlight w:val="none"/>
        </w:rPr>
        <w:t>。</w:t>
      </w:r>
    </w:p>
    <w:p w14:paraId="62922031">
      <w:pPr>
        <w:widowControl/>
        <w:numPr>
          <w:ilvl w:val="0"/>
          <w:numId w:val="6"/>
        </w:numPr>
        <w:spacing w:line="360" w:lineRule="auto"/>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供应商是事业单位的，应提供其有效的“事业单位法人证书”</w:t>
      </w:r>
      <w:r>
        <w:rPr>
          <w:rFonts w:hint="eastAsia" w:ascii="微软雅黑" w:hAnsi="微软雅黑" w:eastAsia="微软雅黑"/>
          <w:color w:val="auto"/>
          <w:sz w:val="24"/>
          <w:highlight w:val="none"/>
        </w:rPr>
        <w:t>。</w:t>
      </w:r>
    </w:p>
    <w:p w14:paraId="547C1824">
      <w:pPr>
        <w:widowControl/>
        <w:numPr>
          <w:ilvl w:val="0"/>
          <w:numId w:val="6"/>
        </w:numPr>
        <w:spacing w:line="360" w:lineRule="auto"/>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供应商是非企业专业服务机构的，应提供其有效的执业许可证</w:t>
      </w:r>
      <w:r>
        <w:rPr>
          <w:rFonts w:hint="eastAsia" w:ascii="微软雅黑" w:hAnsi="微软雅黑" w:eastAsia="微软雅黑"/>
          <w:color w:val="auto"/>
          <w:sz w:val="24"/>
          <w:highlight w:val="none"/>
        </w:rPr>
        <w:t>。</w:t>
      </w:r>
    </w:p>
    <w:p w14:paraId="4CDF65B5">
      <w:pPr>
        <w:widowControl/>
        <w:numPr>
          <w:ilvl w:val="0"/>
          <w:numId w:val="6"/>
        </w:numPr>
        <w:spacing w:line="360" w:lineRule="auto"/>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供应商是个体工商户的，应提供其有效的“个体工商户营业执照”</w:t>
      </w:r>
      <w:r>
        <w:rPr>
          <w:rFonts w:hint="eastAsia" w:ascii="微软雅黑" w:hAnsi="微软雅黑" w:eastAsia="微软雅黑"/>
          <w:color w:val="auto"/>
          <w:sz w:val="24"/>
          <w:highlight w:val="none"/>
        </w:rPr>
        <w:t>。</w:t>
      </w:r>
    </w:p>
    <w:p w14:paraId="4788A471">
      <w:pPr>
        <w:spacing w:line="360" w:lineRule="auto"/>
        <w:jc w:val="center"/>
        <w:rPr>
          <w:rFonts w:ascii="微软雅黑" w:hAnsi="微软雅黑" w:eastAsia="微软雅黑"/>
          <w:b/>
          <w:color w:val="auto"/>
          <w:sz w:val="32"/>
          <w:szCs w:val="32"/>
          <w:highlight w:val="none"/>
        </w:rPr>
      </w:pPr>
    </w:p>
    <w:p w14:paraId="6DE15607">
      <w:pPr>
        <w:spacing w:line="360" w:lineRule="auto"/>
        <w:jc w:val="center"/>
        <w:rPr>
          <w:rFonts w:ascii="微软雅黑" w:hAnsi="微软雅黑" w:eastAsia="微软雅黑"/>
          <w:b/>
          <w:color w:val="auto"/>
          <w:sz w:val="32"/>
          <w:szCs w:val="32"/>
          <w:highlight w:val="none"/>
        </w:rPr>
      </w:pPr>
      <w:r>
        <w:rPr>
          <w:rFonts w:ascii="微软雅黑" w:hAnsi="微软雅黑" w:eastAsia="微软雅黑"/>
          <w:b/>
          <w:color w:val="auto"/>
          <w:sz w:val="32"/>
          <w:szCs w:val="32"/>
          <w:highlight w:val="none"/>
        </w:rPr>
        <w:br w:type="page"/>
      </w:r>
    </w:p>
    <w:p w14:paraId="257977EE">
      <w:pPr>
        <w:spacing w:line="360" w:lineRule="auto"/>
        <w:jc w:val="center"/>
        <w:rPr>
          <w:rFonts w:ascii="微软雅黑" w:hAnsi="微软雅黑" w:eastAsia="微软雅黑"/>
          <w:b/>
          <w:color w:val="auto"/>
          <w:sz w:val="32"/>
          <w:szCs w:val="32"/>
          <w:highlight w:val="none"/>
        </w:rPr>
      </w:pP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2</w:t>
      </w:r>
      <w:r>
        <w:rPr>
          <w:rFonts w:hint="eastAsia" w:ascii="微软雅黑" w:hAnsi="微软雅黑" w:eastAsia="微软雅黑"/>
          <w:b/>
          <w:color w:val="auto"/>
          <w:sz w:val="32"/>
          <w:szCs w:val="32"/>
          <w:highlight w:val="none"/>
        </w:rPr>
        <w:t>　具有良好的商业信誉和健全的财务会计制度证明*</w:t>
      </w:r>
      <w:bookmarkEnd w:id="191"/>
    </w:p>
    <w:p w14:paraId="7DCE8B8D">
      <w:pPr>
        <w:pStyle w:val="26"/>
        <w:rPr>
          <w:color w:val="auto"/>
          <w:highlight w:val="none"/>
        </w:rPr>
      </w:pPr>
      <w:r>
        <w:rPr>
          <w:rFonts w:hint="eastAsia"/>
          <w:color w:val="auto"/>
          <w:highlight w:val="none"/>
        </w:rPr>
        <w:t>提供以下任意一项证明材料：</w:t>
      </w:r>
      <w:r>
        <w:rPr>
          <w:color w:val="auto"/>
          <w:highlight w:val="none"/>
        </w:rPr>
        <w:t xml:space="preserve"> </w:t>
      </w:r>
    </w:p>
    <w:p w14:paraId="2246C145">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1、响应文件提交截止时间前二个年度内任一年度经审计的财务状况报告。</w:t>
      </w:r>
    </w:p>
    <w:p w14:paraId="2004ECA3">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2、响应文件提交截止时间前三个月内其基本开户银行出具的资信证明。</w:t>
      </w:r>
    </w:p>
    <w:p w14:paraId="065B1CB3">
      <w:pPr>
        <w:widowControl/>
        <w:spacing w:line="500" w:lineRule="exact"/>
        <w:ind w:left="360" w:hanging="360" w:hangingChars="150"/>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3、专业担保机构对供应商进行资信审查后出具响应担保函（金融机构、担保机构出具的保函须响应文件提交截止时间前提供原件）。</w:t>
      </w:r>
    </w:p>
    <w:p w14:paraId="322A77C4">
      <w:pPr>
        <w:rPr>
          <w:color w:val="auto"/>
          <w:highlight w:val="none"/>
        </w:rPr>
      </w:pPr>
    </w:p>
    <w:p w14:paraId="0B844EB7">
      <w:pPr>
        <w:rPr>
          <w:rFonts w:ascii="微软雅黑" w:hAnsi="微软雅黑" w:eastAsia="微软雅黑"/>
          <w:color w:val="auto"/>
          <w:sz w:val="24"/>
          <w:highlight w:val="none"/>
        </w:rPr>
      </w:pPr>
    </w:p>
    <w:p w14:paraId="74B570C2">
      <w:pPr>
        <w:rPr>
          <w:rFonts w:ascii="微软雅黑" w:hAnsi="微软雅黑" w:eastAsia="微软雅黑"/>
          <w:color w:val="auto"/>
          <w:sz w:val="24"/>
          <w:szCs w:val="24"/>
          <w:highlight w:val="none"/>
        </w:rPr>
      </w:pPr>
    </w:p>
    <w:p w14:paraId="60654D3C">
      <w:pPr>
        <w:rPr>
          <w:rFonts w:ascii="微软雅黑" w:hAnsi="微软雅黑" w:eastAsia="微软雅黑"/>
          <w:color w:val="auto"/>
          <w:sz w:val="24"/>
          <w:szCs w:val="24"/>
          <w:highlight w:val="none"/>
        </w:rPr>
      </w:pPr>
    </w:p>
    <w:p w14:paraId="3FB1E18D">
      <w:pPr>
        <w:rPr>
          <w:rFonts w:ascii="微软雅黑" w:hAnsi="微软雅黑" w:eastAsia="微软雅黑"/>
          <w:color w:val="auto"/>
          <w:sz w:val="24"/>
          <w:szCs w:val="24"/>
          <w:highlight w:val="none"/>
        </w:rPr>
      </w:pPr>
    </w:p>
    <w:p w14:paraId="228D3258">
      <w:pPr>
        <w:rPr>
          <w:rFonts w:ascii="微软雅黑" w:hAnsi="微软雅黑" w:eastAsia="微软雅黑"/>
          <w:color w:val="auto"/>
          <w:sz w:val="24"/>
          <w:szCs w:val="24"/>
          <w:highlight w:val="none"/>
        </w:rPr>
      </w:pPr>
    </w:p>
    <w:p w14:paraId="711A6B59">
      <w:pPr>
        <w:rPr>
          <w:rFonts w:ascii="微软雅黑" w:hAnsi="微软雅黑" w:eastAsia="微软雅黑"/>
          <w:color w:val="auto"/>
          <w:sz w:val="24"/>
          <w:szCs w:val="24"/>
          <w:highlight w:val="none"/>
        </w:rPr>
      </w:pPr>
    </w:p>
    <w:p w14:paraId="2834F379">
      <w:pPr>
        <w:rPr>
          <w:rFonts w:ascii="微软雅黑" w:hAnsi="微软雅黑" w:eastAsia="微软雅黑"/>
          <w:color w:val="auto"/>
          <w:sz w:val="24"/>
          <w:szCs w:val="24"/>
          <w:highlight w:val="none"/>
        </w:rPr>
      </w:pPr>
    </w:p>
    <w:p w14:paraId="4D537DC4">
      <w:pPr>
        <w:rPr>
          <w:rFonts w:ascii="微软雅黑" w:hAnsi="微软雅黑" w:eastAsia="微软雅黑"/>
          <w:color w:val="auto"/>
          <w:sz w:val="24"/>
          <w:szCs w:val="24"/>
          <w:highlight w:val="none"/>
        </w:rPr>
      </w:pPr>
    </w:p>
    <w:p w14:paraId="75279E37">
      <w:pPr>
        <w:rPr>
          <w:rFonts w:ascii="微软雅黑" w:hAnsi="微软雅黑" w:eastAsia="微软雅黑"/>
          <w:color w:val="auto"/>
          <w:sz w:val="24"/>
          <w:szCs w:val="24"/>
          <w:highlight w:val="none"/>
        </w:rPr>
      </w:pPr>
    </w:p>
    <w:p w14:paraId="4937E33A">
      <w:pPr>
        <w:rPr>
          <w:color w:val="auto"/>
          <w:highlight w:val="none"/>
        </w:rPr>
      </w:pPr>
    </w:p>
    <w:p w14:paraId="61FB69EA">
      <w:pPr>
        <w:rPr>
          <w:rFonts w:ascii="微软雅黑" w:hAnsi="微软雅黑" w:eastAsia="微软雅黑"/>
          <w:color w:val="auto"/>
          <w:sz w:val="30"/>
          <w:szCs w:val="30"/>
          <w:highlight w:val="none"/>
        </w:rPr>
      </w:pPr>
    </w:p>
    <w:p w14:paraId="5BAB9335">
      <w:pPr>
        <w:rPr>
          <w:rFonts w:ascii="Arial" w:hAnsi="Arial" w:eastAsia="黑体"/>
          <w:b/>
          <w:bCs/>
          <w:color w:val="auto"/>
          <w:sz w:val="32"/>
          <w:szCs w:val="32"/>
          <w:highlight w:val="none"/>
          <w:lang w:val="en-GB"/>
        </w:rPr>
      </w:pPr>
      <w:bookmarkStart w:id="192" w:name="_Toc470018417"/>
    </w:p>
    <w:p w14:paraId="751018F0">
      <w:pPr>
        <w:rPr>
          <w:color w:val="auto"/>
          <w:highlight w:val="none"/>
          <w:lang w:val="en-GB"/>
        </w:rPr>
      </w:pPr>
    </w:p>
    <w:p w14:paraId="6B6FD69D">
      <w:pPr>
        <w:rPr>
          <w:rFonts w:ascii="Arial" w:hAnsi="Arial" w:eastAsia="黑体"/>
          <w:b/>
          <w:bCs/>
          <w:color w:val="auto"/>
          <w:sz w:val="32"/>
          <w:szCs w:val="32"/>
          <w:highlight w:val="none"/>
          <w:lang w:val="en-GB"/>
        </w:rPr>
      </w:pPr>
    </w:p>
    <w:p w14:paraId="37A3050D">
      <w:pPr>
        <w:widowControl/>
        <w:jc w:val="left"/>
        <w:rPr>
          <w:rFonts w:ascii="微软雅黑" w:hAnsi="微软雅黑" w:eastAsia="微软雅黑"/>
          <w:b/>
          <w:color w:val="auto"/>
          <w:sz w:val="32"/>
          <w:szCs w:val="32"/>
          <w:highlight w:val="none"/>
        </w:rPr>
      </w:pPr>
      <w:r>
        <w:rPr>
          <w:rFonts w:ascii="微软雅黑" w:hAnsi="微软雅黑" w:eastAsia="微软雅黑"/>
          <w:b/>
          <w:color w:val="auto"/>
          <w:sz w:val="32"/>
          <w:szCs w:val="32"/>
          <w:highlight w:val="none"/>
        </w:rPr>
        <w:br w:type="page"/>
      </w:r>
    </w:p>
    <w:p w14:paraId="0051BAE3">
      <w:pPr>
        <w:spacing w:line="360" w:lineRule="auto"/>
        <w:rPr>
          <w:rFonts w:ascii="微软雅黑" w:hAnsi="微软雅黑" w:eastAsia="微软雅黑"/>
          <w:b/>
          <w:color w:val="auto"/>
          <w:sz w:val="30"/>
          <w:highlight w:val="none"/>
        </w:rPr>
      </w:pP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3</w:t>
      </w:r>
      <w:r>
        <w:rPr>
          <w:rFonts w:hint="eastAsia" w:ascii="微软雅黑" w:hAnsi="微软雅黑" w:eastAsia="微软雅黑"/>
          <w:b/>
          <w:color w:val="auto"/>
          <w:sz w:val="32"/>
          <w:szCs w:val="32"/>
          <w:highlight w:val="none"/>
        </w:rPr>
        <w:t>　</w:t>
      </w:r>
      <w:bookmarkEnd w:id="192"/>
      <w:bookmarkStart w:id="193" w:name="_Toc470018419"/>
      <w:r>
        <w:rPr>
          <w:rFonts w:hint="eastAsia" w:ascii="微软雅黑" w:hAnsi="微软雅黑" w:eastAsia="微软雅黑"/>
          <w:b/>
          <w:color w:val="auto"/>
          <w:sz w:val="30"/>
          <w:highlight w:val="none"/>
        </w:rPr>
        <w:t>有依法缴纳税收和社会保障资金的良好记录证明*</w:t>
      </w:r>
    </w:p>
    <w:p w14:paraId="41725068">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1、提供法人或者其他组织的有效税务登记证书（“三证合一”则不需另提供）； </w:t>
      </w:r>
    </w:p>
    <w:p w14:paraId="697AFA81">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2、提供响应文件提交截止时间前六个月内的任意一个月（所属时间为准）依法缴纳税收的完税凭据； </w:t>
      </w:r>
    </w:p>
    <w:p w14:paraId="113E07BF">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3、提供响应文件提交截止时间前六个月内的任意一个月（所属时间为准）依法缴纳社会保障资金的凭证（专用收据或当地社会保障资金缴纳明细）。</w:t>
      </w:r>
    </w:p>
    <w:p w14:paraId="6EDC7F27">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4、依法免税或不需要缴纳社会保障资金的供应商，须提供相应文件证明其依法免税或不需要缴纳社会保障资金。</w:t>
      </w:r>
    </w:p>
    <w:p w14:paraId="18B66631">
      <w:pPr>
        <w:spacing w:line="360" w:lineRule="auto"/>
        <w:ind w:right="480" w:firstLine="482"/>
        <w:jc w:val="left"/>
        <w:rPr>
          <w:rFonts w:ascii="微软雅黑" w:hAnsi="微软雅黑" w:eastAsia="微软雅黑"/>
          <w:color w:val="auto"/>
          <w:sz w:val="24"/>
          <w:szCs w:val="24"/>
          <w:highlight w:val="none"/>
        </w:rPr>
      </w:pPr>
    </w:p>
    <w:p w14:paraId="3FFA362F">
      <w:pPr>
        <w:spacing w:line="360" w:lineRule="auto"/>
        <w:ind w:right="480" w:firstLine="482"/>
        <w:jc w:val="left"/>
        <w:rPr>
          <w:rFonts w:ascii="微软雅黑" w:hAnsi="微软雅黑" w:eastAsia="微软雅黑"/>
          <w:color w:val="auto"/>
          <w:sz w:val="24"/>
          <w:szCs w:val="24"/>
          <w:highlight w:val="none"/>
        </w:rPr>
      </w:pPr>
    </w:p>
    <w:p w14:paraId="29219F04">
      <w:pPr>
        <w:spacing w:line="500" w:lineRule="exact"/>
        <w:jc w:val="center"/>
        <w:rPr>
          <w:rFonts w:ascii="微软雅黑" w:hAnsi="微软雅黑" w:eastAsia="微软雅黑"/>
          <w:b/>
          <w:color w:val="auto"/>
          <w:sz w:val="30"/>
          <w:highlight w:val="none"/>
        </w:rPr>
        <w:sectPr>
          <w:headerReference r:id="rId32" w:type="default"/>
          <w:pgSz w:w="12240" w:h="15840"/>
          <w:pgMar w:top="1440" w:right="1800" w:bottom="1440" w:left="1800" w:header="708" w:footer="708" w:gutter="0"/>
          <w:pgNumType w:fmt="decimal"/>
          <w:cols w:space="720" w:num="1"/>
          <w:docGrid w:linePitch="360" w:charSpace="0"/>
        </w:sectPr>
      </w:pPr>
    </w:p>
    <w:p w14:paraId="0953FFED">
      <w:pPr>
        <w:spacing w:line="500" w:lineRule="exact"/>
        <w:jc w:val="center"/>
        <w:rPr>
          <w:rFonts w:ascii="微软雅黑" w:hAnsi="微软雅黑" w:eastAsia="微软雅黑"/>
          <w:b/>
          <w:color w:val="auto"/>
          <w:sz w:val="30"/>
          <w:highlight w:val="none"/>
        </w:rPr>
      </w:pPr>
      <w:r>
        <w:rPr>
          <w:rFonts w:hint="eastAsia" w:ascii="微软雅黑" w:hAnsi="微软雅黑" w:eastAsia="微软雅黑"/>
          <w:b/>
          <w:color w:val="auto"/>
          <w:sz w:val="30"/>
          <w:highlight w:val="none"/>
        </w:rPr>
        <w:t>6-</w:t>
      </w:r>
      <w:r>
        <w:rPr>
          <w:rFonts w:hint="eastAsia" w:ascii="微软雅黑" w:hAnsi="微软雅黑" w:eastAsia="微软雅黑"/>
          <w:b/>
          <w:color w:val="auto"/>
          <w:sz w:val="30"/>
          <w:highlight w:val="none"/>
          <w:lang w:val="en-US" w:eastAsia="zh-CN"/>
        </w:rPr>
        <w:t>4</w:t>
      </w:r>
      <w:r>
        <w:rPr>
          <w:rFonts w:hint="eastAsia" w:ascii="微软雅黑" w:hAnsi="微软雅黑" w:eastAsia="微软雅黑"/>
          <w:b/>
          <w:color w:val="auto"/>
          <w:sz w:val="30"/>
          <w:highlight w:val="none"/>
        </w:rPr>
        <w:t>　</w:t>
      </w:r>
      <w:r>
        <w:rPr>
          <w:rFonts w:ascii="微软雅黑" w:hAnsi="微软雅黑" w:eastAsia="微软雅黑"/>
          <w:b/>
          <w:color w:val="auto"/>
          <w:sz w:val="30"/>
          <w:highlight w:val="none"/>
        </w:rPr>
        <w:t>具备履行合同所必需的设备和专业技术能力</w:t>
      </w:r>
      <w:r>
        <w:rPr>
          <w:rFonts w:hint="eastAsia" w:ascii="微软雅黑" w:hAnsi="微软雅黑" w:eastAsia="微软雅黑"/>
          <w:b/>
          <w:color w:val="auto"/>
          <w:sz w:val="30"/>
          <w:highlight w:val="none"/>
        </w:rPr>
        <w:t>声明*</w:t>
      </w:r>
    </w:p>
    <w:p w14:paraId="36A5E3EB">
      <w:pPr>
        <w:spacing w:line="480" w:lineRule="exact"/>
        <w:jc w:val="center"/>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（格式）</w:t>
      </w:r>
    </w:p>
    <w:p w14:paraId="6613D052">
      <w:pPr>
        <w:widowControl/>
        <w:jc w:val="left"/>
        <w:rPr>
          <w:color w:val="auto"/>
          <w:highlight w:val="none"/>
          <w:lang w:val="en-GB"/>
        </w:rPr>
      </w:pPr>
    </w:p>
    <w:p w14:paraId="4045A711">
      <w:pPr>
        <w:widowControl/>
        <w:jc w:val="left"/>
        <w:rPr>
          <w:color w:val="auto"/>
          <w:highlight w:val="none"/>
          <w:lang w:val="en-GB"/>
        </w:rPr>
      </w:pPr>
    </w:p>
    <w:p w14:paraId="2E2BE3EB">
      <w:pPr>
        <w:widowControl/>
        <w:jc w:val="left"/>
        <w:rPr>
          <w:color w:val="auto"/>
          <w:highlight w:val="none"/>
          <w:lang w:val="en-GB"/>
        </w:rPr>
      </w:pPr>
    </w:p>
    <w:p w14:paraId="6DC370E0">
      <w:pPr>
        <w:spacing w:line="480" w:lineRule="exact"/>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eastAsia="zh-CN"/>
        </w:rPr>
        <w:t>南昌市晨晖招投标咨询服务有限公司</w:t>
      </w:r>
      <w:r>
        <w:rPr>
          <w:rFonts w:hint="eastAsia" w:ascii="微软雅黑" w:hAnsi="微软雅黑" w:eastAsia="微软雅黑"/>
          <w:color w:val="auto"/>
          <w:sz w:val="24"/>
          <w:szCs w:val="24"/>
          <w:highlight w:val="none"/>
          <w:lang w:val="en-GB"/>
        </w:rPr>
        <w:t>：</w:t>
      </w:r>
    </w:p>
    <w:p w14:paraId="33F29BE6">
      <w:pPr>
        <w:spacing w:line="480" w:lineRule="exact"/>
        <w:ind w:firstLine="482"/>
        <w:rPr>
          <w:rFonts w:ascii="微软雅黑" w:hAnsi="微软雅黑" w:eastAsia="微软雅黑"/>
          <w:color w:val="auto"/>
          <w:sz w:val="24"/>
          <w:szCs w:val="24"/>
          <w:highlight w:val="none"/>
          <w:lang w:val="en-GB"/>
        </w:rPr>
      </w:pPr>
    </w:p>
    <w:p w14:paraId="57720A69">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val="en-GB"/>
        </w:rPr>
        <w:t>我公司承诺参与本次</w:t>
      </w:r>
      <w:r>
        <w:rPr>
          <w:rFonts w:hint="eastAsia" w:ascii="微软雅黑" w:hAnsi="微软雅黑" w:eastAsia="微软雅黑"/>
          <w:color w:val="auto"/>
          <w:sz w:val="24"/>
          <w:szCs w:val="24"/>
          <w:highlight w:val="none"/>
        </w:rPr>
        <w:t>“</w:t>
      </w:r>
      <w:r>
        <w:rPr>
          <w:rFonts w:hint="eastAsia" w:ascii="微软雅黑" w:hAnsi="微软雅黑" w:eastAsia="微软雅黑"/>
          <w:color w:val="auto"/>
          <w:kern w:val="0"/>
          <w:sz w:val="24"/>
          <w:szCs w:val="24"/>
          <w:highlight w:val="none"/>
          <w:lang w:eastAsia="zh-CN"/>
        </w:rPr>
        <w:t>红谷滩区现代服务产业园能耗监测系统技术服务（第二次）</w:t>
      </w:r>
      <w:r>
        <w:rPr>
          <w:rFonts w:hint="eastAsia" w:ascii="微软雅黑" w:hAnsi="微软雅黑" w:eastAsia="微软雅黑"/>
          <w:color w:val="auto"/>
          <w:sz w:val="24"/>
          <w:szCs w:val="24"/>
          <w:highlight w:val="none"/>
        </w:rPr>
        <w:t>（采购编号：</w:t>
      </w:r>
      <w:r>
        <w:rPr>
          <w:rFonts w:hint="eastAsia" w:ascii="微软雅黑" w:hAnsi="微软雅黑" w:eastAsia="微软雅黑"/>
          <w:color w:val="auto"/>
          <w:kern w:val="0"/>
          <w:sz w:val="24"/>
          <w:szCs w:val="24"/>
          <w:highlight w:val="none"/>
          <w:lang w:eastAsia="zh-CN"/>
        </w:rPr>
        <w:t>NCCH2026-B0404-1</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GB"/>
        </w:rPr>
        <w:t>采购活动中，具有履行合同所必需的设备和专业技术能力。能够完全按照采购文件</w:t>
      </w:r>
      <w:r>
        <w:rPr>
          <w:rFonts w:hint="eastAsia" w:ascii="微软雅黑" w:hAnsi="微软雅黑" w:eastAsia="微软雅黑"/>
          <w:color w:val="auto"/>
          <w:sz w:val="24"/>
          <w:szCs w:val="24"/>
          <w:highlight w:val="none"/>
        </w:rPr>
        <w:t>技术</w:t>
      </w:r>
      <w:r>
        <w:rPr>
          <w:rFonts w:hint="eastAsia" w:ascii="微软雅黑" w:hAnsi="微软雅黑" w:eastAsia="微软雅黑"/>
          <w:color w:val="auto"/>
          <w:sz w:val="24"/>
          <w:szCs w:val="24"/>
          <w:highlight w:val="none"/>
          <w:lang w:val="en-GB"/>
        </w:rPr>
        <w:t>要求、商务条款及响应文件中所响应的所有内容进行。</w:t>
      </w:r>
    </w:p>
    <w:p w14:paraId="75A3FAF7">
      <w:pPr>
        <w:spacing w:line="480" w:lineRule="exact"/>
        <w:ind w:firstLine="482"/>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特此承诺。如我公司提供虚假信息，将承担虚假应标及违约的全部责任，并按相关法律、法规规定接受处罚。</w:t>
      </w:r>
    </w:p>
    <w:p w14:paraId="13B4C722">
      <w:pPr>
        <w:spacing w:line="480" w:lineRule="auto"/>
        <w:ind w:firstLine="482"/>
        <w:rPr>
          <w:rFonts w:ascii="微软雅黑" w:hAnsi="微软雅黑" w:eastAsia="微软雅黑"/>
          <w:color w:val="auto"/>
          <w:sz w:val="24"/>
          <w:szCs w:val="24"/>
          <w:highlight w:val="none"/>
          <w:u w:val="single"/>
          <w:lang w:val="en-GB"/>
        </w:rPr>
      </w:pPr>
    </w:p>
    <w:p w14:paraId="3C76DCB6">
      <w:pPr>
        <w:spacing w:line="480" w:lineRule="exact"/>
        <w:ind w:firstLine="482"/>
        <w:rPr>
          <w:rFonts w:ascii="微软雅黑" w:hAnsi="微软雅黑" w:eastAsia="微软雅黑"/>
          <w:color w:val="auto"/>
          <w:sz w:val="24"/>
          <w:szCs w:val="24"/>
          <w:highlight w:val="none"/>
          <w:u w:val="single"/>
          <w:lang w:val="en-GB"/>
        </w:rPr>
      </w:pPr>
    </w:p>
    <w:p w14:paraId="7297916F">
      <w:pPr>
        <w:spacing w:line="480" w:lineRule="auto"/>
        <w:ind w:firstLine="482"/>
        <w:rPr>
          <w:rFonts w:ascii="微软雅黑" w:hAnsi="微软雅黑" w:eastAsia="微软雅黑"/>
          <w:color w:val="auto"/>
          <w:sz w:val="24"/>
          <w:szCs w:val="24"/>
          <w:highlight w:val="none"/>
          <w:u w:val="single"/>
          <w:lang w:val="en-GB"/>
        </w:rPr>
      </w:pPr>
    </w:p>
    <w:p w14:paraId="67B9846C">
      <w:pPr>
        <w:spacing w:line="480" w:lineRule="auto"/>
        <w:ind w:firstLine="482"/>
        <w:rPr>
          <w:rFonts w:ascii="微软雅黑" w:hAnsi="微软雅黑" w:eastAsia="微软雅黑"/>
          <w:color w:val="auto"/>
          <w:sz w:val="24"/>
          <w:szCs w:val="24"/>
          <w:highlight w:val="none"/>
          <w:u w:val="single"/>
          <w:lang w:val="en-GB"/>
        </w:rPr>
      </w:pPr>
    </w:p>
    <w:p w14:paraId="36CB5F3C">
      <w:pPr>
        <w:spacing w:line="480" w:lineRule="auto"/>
        <w:ind w:firstLine="482"/>
        <w:rPr>
          <w:rFonts w:ascii="微软雅黑" w:hAnsi="微软雅黑" w:eastAsia="微软雅黑"/>
          <w:color w:val="auto"/>
          <w:sz w:val="24"/>
          <w:szCs w:val="24"/>
          <w:highlight w:val="none"/>
          <w:u w:val="single"/>
          <w:lang w:val="en-GB"/>
        </w:rPr>
      </w:pPr>
    </w:p>
    <w:p w14:paraId="28032FE4">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公章</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33E27740">
      <w:pPr>
        <w:spacing w:line="360" w:lineRule="auto"/>
        <w:ind w:firstLine="482"/>
        <w:rPr>
          <w:rFonts w:ascii="微软雅黑" w:hAnsi="微软雅黑" w:eastAsia="微软雅黑"/>
          <w:color w:val="auto"/>
          <w:sz w:val="24"/>
          <w:szCs w:val="24"/>
          <w:highlight w:val="none"/>
          <w:u w:val="single"/>
        </w:rPr>
      </w:pPr>
    </w:p>
    <w:p w14:paraId="316DFDA7">
      <w:pPr>
        <w:spacing w:line="360" w:lineRule="auto"/>
        <w:ind w:firstLine="482"/>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签字</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 xml:space="preserve">：  </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u w:val="single"/>
        </w:rPr>
        <w:t xml:space="preserve">      </w:t>
      </w:r>
      <w:r>
        <w:rPr>
          <w:rFonts w:ascii="微软雅黑" w:hAnsi="微软雅黑" w:eastAsia="微软雅黑"/>
          <w:color w:val="auto"/>
          <w:sz w:val="24"/>
          <w:szCs w:val="24"/>
          <w:highlight w:val="none"/>
          <w:u w:val="single"/>
        </w:rPr>
        <w:t xml:space="preserve">  </w:t>
      </w:r>
    </w:p>
    <w:p w14:paraId="15FB33B4">
      <w:pPr>
        <w:spacing w:line="360" w:lineRule="auto"/>
        <w:ind w:firstLine="482"/>
        <w:jc w:val="right"/>
        <w:rPr>
          <w:rFonts w:ascii="微软雅黑" w:hAnsi="微软雅黑" w:eastAsia="微软雅黑"/>
          <w:color w:val="auto"/>
          <w:sz w:val="24"/>
          <w:highlight w:val="none"/>
        </w:rPr>
      </w:pP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p w14:paraId="176FA8D9">
      <w:pPr>
        <w:widowControl/>
        <w:jc w:val="center"/>
        <w:rPr>
          <w:color w:val="auto"/>
          <w:highlight w:val="none"/>
        </w:rPr>
      </w:pPr>
    </w:p>
    <w:p w14:paraId="17F7782D">
      <w:pPr>
        <w:jc w:val="center"/>
        <w:rPr>
          <w:rFonts w:ascii="微软雅黑" w:hAnsi="微软雅黑" w:eastAsia="微软雅黑"/>
          <w:b/>
          <w:color w:val="auto"/>
          <w:sz w:val="32"/>
          <w:szCs w:val="32"/>
          <w:highlight w:val="none"/>
        </w:rPr>
      </w:pPr>
      <w:r>
        <w:rPr>
          <w:color w:val="auto"/>
          <w:highlight w:val="none"/>
        </w:rPr>
        <w:br w:type="page"/>
      </w: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5</w:t>
      </w:r>
      <w:r>
        <w:rPr>
          <w:rFonts w:hint="eastAsia" w:ascii="微软雅黑" w:hAnsi="微软雅黑" w:eastAsia="微软雅黑"/>
          <w:b/>
          <w:color w:val="auto"/>
          <w:sz w:val="32"/>
          <w:szCs w:val="32"/>
          <w:highlight w:val="none"/>
        </w:rPr>
        <w:t>无重大违法记录声明函*</w:t>
      </w:r>
      <w:bookmarkEnd w:id="193"/>
    </w:p>
    <w:p w14:paraId="33BA0DA3">
      <w:pPr>
        <w:spacing w:line="500" w:lineRule="exact"/>
        <w:rPr>
          <w:rFonts w:ascii="微软雅黑" w:hAnsi="微软雅黑" w:eastAsia="微软雅黑"/>
          <w:color w:val="auto"/>
          <w:sz w:val="24"/>
          <w:highlight w:val="none"/>
        </w:rPr>
      </w:pPr>
    </w:p>
    <w:p w14:paraId="406814ED">
      <w:pPr>
        <w:spacing w:line="500" w:lineRule="exact"/>
        <w:rPr>
          <w:rFonts w:ascii="微软雅黑" w:hAnsi="微软雅黑" w:eastAsia="微软雅黑"/>
          <w:b/>
          <w:bCs/>
          <w:color w:val="auto"/>
          <w:sz w:val="32"/>
          <w:szCs w:val="32"/>
          <w:highlight w:val="none"/>
        </w:rPr>
      </w:pPr>
      <w:r>
        <w:rPr>
          <w:rFonts w:hint="eastAsia" w:ascii="微软雅黑" w:hAnsi="微软雅黑" w:eastAsia="微软雅黑"/>
          <w:color w:val="auto"/>
          <w:sz w:val="24"/>
          <w:highlight w:val="none"/>
          <w:lang w:eastAsia="zh-CN"/>
        </w:rPr>
        <w:t>南昌市晨晖招投标咨询服务有限公司</w:t>
      </w:r>
      <w:r>
        <w:rPr>
          <w:rFonts w:hint="eastAsia" w:ascii="微软雅黑" w:hAnsi="微软雅黑" w:eastAsia="微软雅黑"/>
          <w:color w:val="auto"/>
          <w:sz w:val="24"/>
          <w:highlight w:val="none"/>
        </w:rPr>
        <w:t>：</w:t>
      </w:r>
    </w:p>
    <w:p w14:paraId="1F612CE2">
      <w:pPr>
        <w:spacing w:line="500" w:lineRule="exact"/>
        <w:ind w:firstLine="480" w:firstLineChars="200"/>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我公司在参加本次采购活动前三年内在经营活动中没有因违法经营受到刑事处罚或者责令停产停业、吊销许可证或者执照、较大数额罚款等行政处罚。</w:t>
      </w:r>
    </w:p>
    <w:p w14:paraId="3F2D914E">
      <w:pPr>
        <w:spacing w:line="500" w:lineRule="exact"/>
        <w:ind w:firstLine="480" w:firstLineChars="200"/>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若我公司以上声明内容不真实，将承担虚假应标的全部责任，并按相关法律、法规规定接受处罚。</w:t>
      </w:r>
    </w:p>
    <w:p w14:paraId="318BA23B">
      <w:pPr>
        <w:spacing w:line="500" w:lineRule="exact"/>
        <w:ind w:right="840" w:firstLine="480" w:firstLineChars="200"/>
        <w:jc w:val="left"/>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特此声明。</w:t>
      </w:r>
    </w:p>
    <w:p w14:paraId="1159139D">
      <w:pPr>
        <w:spacing w:line="500" w:lineRule="exact"/>
        <w:ind w:right="840" w:firstLine="600" w:firstLineChars="250"/>
        <w:jc w:val="right"/>
        <w:rPr>
          <w:rFonts w:ascii="微软雅黑" w:hAnsi="微软雅黑" w:eastAsia="微软雅黑"/>
          <w:color w:val="auto"/>
          <w:sz w:val="24"/>
          <w:szCs w:val="24"/>
          <w:highlight w:val="none"/>
        </w:rPr>
      </w:pPr>
    </w:p>
    <w:p w14:paraId="5A84B797">
      <w:pPr>
        <w:spacing w:line="500" w:lineRule="exact"/>
        <w:ind w:right="840" w:firstLine="600" w:firstLineChars="250"/>
        <w:jc w:val="right"/>
        <w:rPr>
          <w:rFonts w:ascii="微软雅黑" w:hAnsi="微软雅黑" w:eastAsia="微软雅黑"/>
          <w:color w:val="auto"/>
          <w:sz w:val="24"/>
          <w:szCs w:val="24"/>
          <w:highlight w:val="none"/>
        </w:rPr>
      </w:pPr>
    </w:p>
    <w:p w14:paraId="035B7BB2">
      <w:pPr>
        <w:spacing w:line="500" w:lineRule="exact"/>
        <w:ind w:firstLine="3240" w:firstLineChars="135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公章</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43D3B023">
      <w:pPr>
        <w:spacing w:line="500" w:lineRule="exact"/>
        <w:ind w:firstLine="482"/>
        <w:rPr>
          <w:rFonts w:ascii="微软雅黑" w:hAnsi="微软雅黑" w:eastAsia="微软雅黑"/>
          <w:color w:val="auto"/>
          <w:sz w:val="24"/>
          <w:szCs w:val="24"/>
          <w:highlight w:val="none"/>
          <w:u w:val="single"/>
        </w:rPr>
      </w:pPr>
    </w:p>
    <w:p w14:paraId="22AC4864">
      <w:pPr>
        <w:spacing w:line="500" w:lineRule="exact"/>
        <w:ind w:firstLine="3240" w:firstLineChars="1350"/>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签字</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0473E782">
      <w:pPr>
        <w:widowControl/>
        <w:spacing w:line="500" w:lineRule="exact"/>
        <w:jc w:val="left"/>
        <w:rPr>
          <w:color w:val="auto"/>
          <w:highlight w:val="none"/>
        </w:rPr>
      </w:pPr>
    </w:p>
    <w:p w14:paraId="0AFC41DE">
      <w:pPr>
        <w:widowControl/>
        <w:spacing w:line="500" w:lineRule="exact"/>
        <w:jc w:val="left"/>
        <w:rPr>
          <w:color w:val="auto"/>
          <w:highlight w:val="none"/>
        </w:rPr>
      </w:pPr>
    </w:p>
    <w:p w14:paraId="032D6F30">
      <w:pPr>
        <w:jc w:val="right"/>
        <w:rPr>
          <w:rFonts w:ascii="微软雅黑" w:hAnsi="微软雅黑" w:eastAsia="微软雅黑"/>
          <w:color w:val="auto"/>
          <w:sz w:val="30"/>
          <w:szCs w:val="30"/>
          <w:highlight w:val="none"/>
        </w:rPr>
      </w:pP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bookmarkEnd w:id="187"/>
    <w:p w14:paraId="06F3B069">
      <w:pPr>
        <w:rPr>
          <w:rFonts w:ascii="微软雅黑" w:hAnsi="微软雅黑" w:eastAsia="微软雅黑"/>
          <w:color w:val="auto"/>
          <w:highlight w:val="none"/>
        </w:rPr>
      </w:pPr>
    </w:p>
    <w:p w14:paraId="33903E2D">
      <w:pPr>
        <w:rPr>
          <w:color w:val="auto"/>
          <w:highlight w:val="none"/>
        </w:rPr>
      </w:pPr>
    </w:p>
    <w:p w14:paraId="36306075">
      <w:pPr>
        <w:rPr>
          <w:color w:val="auto"/>
          <w:highlight w:val="none"/>
        </w:rPr>
      </w:pPr>
    </w:p>
    <w:p w14:paraId="4BC8168C">
      <w:pPr>
        <w:spacing w:line="360" w:lineRule="auto"/>
        <w:jc w:val="center"/>
        <w:rPr>
          <w:rFonts w:ascii="微软雅黑" w:hAnsi="微软雅黑" w:eastAsia="微软雅黑"/>
          <w:b/>
          <w:color w:val="auto"/>
          <w:sz w:val="30"/>
          <w:highlight w:val="none"/>
        </w:rPr>
      </w:pPr>
      <w:r>
        <w:rPr>
          <w:rFonts w:ascii="微软雅黑" w:hAnsi="微软雅黑" w:eastAsia="微软雅黑"/>
          <w:b/>
          <w:color w:val="auto"/>
          <w:sz w:val="32"/>
          <w:szCs w:val="32"/>
          <w:highlight w:val="none"/>
        </w:rPr>
        <w:br w:type="page"/>
      </w:r>
      <w:r>
        <w:rPr>
          <w:rFonts w:hint="eastAsia" w:ascii="微软雅黑" w:hAnsi="微软雅黑" w:eastAsia="微软雅黑"/>
          <w:b/>
          <w:color w:val="auto"/>
          <w:sz w:val="32"/>
          <w:szCs w:val="32"/>
          <w:highlight w:val="none"/>
        </w:rPr>
        <w:t>6</w:t>
      </w:r>
      <w:r>
        <w:rPr>
          <w:rFonts w:ascii="微软雅黑" w:hAnsi="微软雅黑" w:eastAsia="微软雅黑"/>
          <w:b/>
          <w:color w:val="auto"/>
          <w:sz w:val="30"/>
          <w:highlight w:val="none"/>
        </w:rPr>
        <w:t>-</w:t>
      </w:r>
      <w:r>
        <w:rPr>
          <w:rFonts w:hint="eastAsia" w:ascii="微软雅黑" w:hAnsi="微软雅黑" w:eastAsia="微软雅黑"/>
          <w:b/>
          <w:color w:val="auto"/>
          <w:sz w:val="30"/>
          <w:highlight w:val="none"/>
          <w:lang w:val="en-US" w:eastAsia="zh-CN"/>
        </w:rPr>
        <w:t>6</w:t>
      </w:r>
      <w:r>
        <w:rPr>
          <w:rFonts w:hint="eastAsia" w:ascii="微软雅黑" w:hAnsi="微软雅黑" w:eastAsia="微软雅黑"/>
          <w:b/>
          <w:color w:val="auto"/>
          <w:sz w:val="30"/>
          <w:highlight w:val="none"/>
        </w:rPr>
        <w:t>　法律、法规及比选文件要求提供的其他资格证明*</w:t>
      </w:r>
    </w:p>
    <w:p w14:paraId="06CF565D">
      <w:pPr>
        <w:widowControl/>
        <w:jc w:val="left"/>
        <w:rPr>
          <w:color w:val="auto"/>
          <w:highlight w:val="none"/>
        </w:rPr>
      </w:pPr>
    </w:p>
    <w:p w14:paraId="3BA2DEBA">
      <w:pPr>
        <w:widowControl/>
        <w:jc w:val="left"/>
        <w:rPr>
          <w:color w:val="auto"/>
          <w:highlight w:val="none"/>
        </w:rPr>
      </w:pPr>
    </w:p>
    <w:p w14:paraId="09EC2327">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根据《财政部关于在政府采购活动中查询及使用信用记录有关问题的通知》财库【2016】125号文规定，对</w:t>
      </w:r>
      <w:r>
        <w:rPr>
          <w:rFonts w:hint="eastAsia" w:ascii="微软雅黑" w:hAnsi="微软雅黑" w:eastAsia="微软雅黑"/>
          <w:color w:val="auto"/>
          <w:sz w:val="24"/>
          <w:szCs w:val="24"/>
          <w:highlight w:val="none"/>
        </w:rPr>
        <w:t>参加采购活动前三年内</w:t>
      </w:r>
      <w:r>
        <w:rPr>
          <w:rFonts w:ascii="微软雅黑" w:hAnsi="微软雅黑" w:eastAsia="微软雅黑"/>
          <w:color w:val="auto"/>
          <w:sz w:val="24"/>
          <w:szCs w:val="24"/>
          <w:highlight w:val="none"/>
        </w:rPr>
        <w:t>列入失信被执行人、重大税收违法案件当事人名单、政府采购严重违法失信行为记录名单及其他不符合《中华人民共和国政府采购法》第二十二条规定条件的供应商，将拒绝其参与采购活动。</w:t>
      </w:r>
      <w:r>
        <w:rPr>
          <w:rFonts w:hint="eastAsia" w:ascii="微软雅黑" w:hAnsi="微软雅黑" w:eastAsia="微软雅黑"/>
          <w:color w:val="auto"/>
          <w:sz w:val="24"/>
          <w:szCs w:val="24"/>
          <w:highlight w:val="none"/>
        </w:rPr>
        <w:t>供应商</w:t>
      </w:r>
      <w:r>
        <w:rPr>
          <w:rFonts w:ascii="微软雅黑" w:hAnsi="微软雅黑" w:eastAsia="微软雅黑"/>
          <w:color w:val="auto"/>
          <w:sz w:val="24"/>
          <w:szCs w:val="24"/>
          <w:highlight w:val="none"/>
        </w:rPr>
        <w:t>相关信用信息将通过“信用中国”网站（www.creditchina.gov.cn）</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rPr>
        <w:t>中国政府采购网（www.ccgp.gov.cn）、</w:t>
      </w:r>
      <w:r>
        <w:rPr>
          <w:rFonts w:hint="eastAsia" w:ascii="微软雅黑" w:hAnsi="微软雅黑" w:eastAsia="微软雅黑"/>
          <w:b/>
          <w:color w:val="auto"/>
          <w:sz w:val="24"/>
          <w:szCs w:val="24"/>
          <w:highlight w:val="none"/>
        </w:rPr>
        <w:t>国家企业信用信息公示系统”（www.gsxt.gov.cn）、</w:t>
      </w:r>
      <w:r>
        <w:rPr>
          <w:rFonts w:ascii="微软雅黑" w:hAnsi="微软雅黑" w:eastAsia="微软雅黑"/>
          <w:color w:val="auto"/>
          <w:sz w:val="24"/>
          <w:szCs w:val="24"/>
          <w:highlight w:val="none"/>
        </w:rPr>
        <w:t>等渠道进行查询。</w:t>
      </w:r>
    </w:p>
    <w:p w14:paraId="5AA13605">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由于上述两个网站信息更新会存在不及时的情况，例如供应商企业更名，在信息更新前， 供应商新企业名称未同步至系统中，但原企业名称相关信息存在的情况。供应商则需查询原企业名称，并将工商部门对企业更名的相关证明材料一同附于</w:t>
      </w:r>
      <w:r>
        <w:rPr>
          <w:rFonts w:hint="eastAsia" w:ascii="微软雅黑" w:hAnsi="微软雅黑" w:eastAsia="微软雅黑"/>
          <w:color w:val="auto"/>
          <w:sz w:val="24"/>
          <w:szCs w:val="24"/>
          <w:highlight w:val="none"/>
        </w:rPr>
        <w:t>响应</w:t>
      </w:r>
      <w:r>
        <w:rPr>
          <w:rFonts w:ascii="微软雅黑" w:hAnsi="微软雅黑" w:eastAsia="微软雅黑"/>
          <w:color w:val="auto"/>
          <w:sz w:val="24"/>
          <w:szCs w:val="24"/>
          <w:highlight w:val="none"/>
        </w:rPr>
        <w:t>文件中，资格审查予以认可， 否则无法通过资格审查。</w:t>
      </w:r>
    </w:p>
    <w:p w14:paraId="26344F6B">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如因信用中国网站系统问题，导致一部分企业信息未被收录，造成搜索后显示“没查到您要的信息”的，</w:t>
      </w:r>
      <w:r>
        <w:rPr>
          <w:rFonts w:hint="eastAsia" w:ascii="微软雅黑" w:hAnsi="微软雅黑" w:eastAsia="微软雅黑"/>
          <w:color w:val="auto"/>
          <w:sz w:val="24"/>
          <w:szCs w:val="24"/>
          <w:highlight w:val="none"/>
        </w:rPr>
        <w:t>则需提供声明函</w:t>
      </w:r>
      <w:r>
        <w:rPr>
          <w:rFonts w:ascii="微软雅黑" w:hAnsi="微软雅黑" w:eastAsia="微软雅黑"/>
          <w:color w:val="auto"/>
          <w:sz w:val="24"/>
          <w:szCs w:val="24"/>
          <w:highlight w:val="none"/>
        </w:rPr>
        <w:t>。</w:t>
      </w:r>
    </w:p>
    <w:p w14:paraId="3497DB88">
      <w:pPr>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br w:type="page"/>
      </w:r>
    </w:p>
    <w:p w14:paraId="180359AD">
      <w:pPr>
        <w:jc w:val="center"/>
        <w:rPr>
          <w:rFonts w:ascii="微软雅黑" w:hAnsi="微软雅黑" w:eastAsia="微软雅黑"/>
          <w:color w:val="auto"/>
          <w:sz w:val="24"/>
          <w:szCs w:val="24"/>
          <w:highlight w:val="none"/>
        </w:rPr>
      </w:pPr>
    </w:p>
    <w:p w14:paraId="61B4C07C">
      <w:pPr>
        <w:jc w:val="center"/>
        <w:rPr>
          <w:rFonts w:ascii="微软雅黑" w:hAnsi="微软雅黑" w:eastAsia="微软雅黑"/>
          <w:b/>
          <w:color w:val="auto"/>
          <w:sz w:val="28"/>
          <w:szCs w:val="28"/>
          <w:highlight w:val="none"/>
        </w:rPr>
      </w:pPr>
      <w:r>
        <w:rPr>
          <w:rFonts w:hint="eastAsia" w:ascii="微软雅黑" w:hAnsi="微软雅黑" w:eastAsia="微软雅黑"/>
          <w:b/>
          <w:color w:val="auto"/>
          <w:sz w:val="28"/>
          <w:szCs w:val="28"/>
          <w:highlight w:val="none"/>
        </w:rPr>
        <w:t>6-</w:t>
      </w:r>
      <w:r>
        <w:rPr>
          <w:rFonts w:hint="eastAsia" w:ascii="微软雅黑" w:hAnsi="微软雅黑" w:eastAsia="微软雅黑"/>
          <w:b/>
          <w:color w:val="auto"/>
          <w:sz w:val="28"/>
          <w:szCs w:val="28"/>
          <w:highlight w:val="none"/>
          <w:lang w:val="en-US" w:eastAsia="zh-CN"/>
        </w:rPr>
        <w:t>6</w:t>
      </w:r>
      <w:r>
        <w:rPr>
          <w:rFonts w:hint="eastAsia" w:ascii="微软雅黑" w:hAnsi="微软雅黑" w:eastAsia="微软雅黑"/>
          <w:b/>
          <w:color w:val="auto"/>
          <w:sz w:val="28"/>
          <w:szCs w:val="28"/>
          <w:highlight w:val="none"/>
        </w:rPr>
        <w:t>-1已收录信用查询网站的供应商（格式）</w:t>
      </w:r>
    </w:p>
    <w:p w14:paraId="792D94A2">
      <w:pPr>
        <w:rPr>
          <w:rFonts w:ascii="微软雅黑" w:hAnsi="微软雅黑" w:eastAsia="微软雅黑"/>
          <w:color w:val="auto"/>
          <w:highlight w:val="none"/>
        </w:rPr>
      </w:pPr>
    </w:p>
    <w:p w14:paraId="4F0500FA">
      <w:pPr>
        <w:spacing w:line="480" w:lineRule="exac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w:t>
      </w:r>
    </w:p>
    <w:p w14:paraId="0CEDED82">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我公司通过“信用中国”网站（www.creditchina.gov.cn）、中国政府采购网（www.ccgp.gov.cn）等渠道进行查询，未被列入失信被执行人、重大税收违法案件当事人名单、政府采购严重违法失信行为记录名单，符合《中华人民共和国政府采购法》第二十二条规定条件。</w:t>
      </w:r>
    </w:p>
    <w:p w14:paraId="361856CA">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查询截图如下：</w:t>
      </w:r>
    </w:p>
    <w:p w14:paraId="4741C93A">
      <w:pPr>
        <w:spacing w:line="360" w:lineRule="auto"/>
        <w:ind w:firstLine="482"/>
        <w:rPr>
          <w:rFonts w:ascii="微软雅黑" w:hAnsi="微软雅黑" w:eastAsia="微软雅黑"/>
          <w:color w:val="auto"/>
          <w:sz w:val="24"/>
          <w:szCs w:val="24"/>
          <w:highlight w:val="none"/>
        </w:rPr>
      </w:pPr>
    </w:p>
    <w:p w14:paraId="42DACC0C">
      <w:pPr>
        <w:widowControl/>
        <w:jc w:val="left"/>
        <w:rPr>
          <w:rFonts w:ascii="微软雅黑" w:hAnsi="微软雅黑" w:eastAsia="微软雅黑"/>
          <w:color w:val="auto"/>
          <w:sz w:val="24"/>
          <w:szCs w:val="24"/>
          <w:highlight w:val="none"/>
        </w:rPr>
      </w:pPr>
    </w:p>
    <w:p w14:paraId="161DC9E7">
      <w:pPr>
        <w:widowControl/>
        <w:jc w:val="left"/>
        <w:rPr>
          <w:rFonts w:ascii="微软雅黑" w:hAnsi="微软雅黑" w:eastAsia="微软雅黑"/>
          <w:color w:val="auto"/>
          <w:sz w:val="24"/>
          <w:szCs w:val="24"/>
          <w:highlight w:val="none"/>
        </w:rPr>
      </w:pPr>
    </w:p>
    <w:p w14:paraId="1044A7DC">
      <w:pPr>
        <w:widowControl/>
        <w:jc w:val="left"/>
        <w:rPr>
          <w:rFonts w:ascii="微软雅黑" w:hAnsi="微软雅黑" w:eastAsia="微软雅黑"/>
          <w:color w:val="auto"/>
          <w:sz w:val="24"/>
          <w:szCs w:val="24"/>
          <w:highlight w:val="none"/>
        </w:rPr>
      </w:pPr>
    </w:p>
    <w:p w14:paraId="2D09CD2E">
      <w:pPr>
        <w:widowControl/>
        <w:jc w:val="left"/>
        <w:rPr>
          <w:rFonts w:ascii="微软雅黑" w:hAnsi="微软雅黑" w:eastAsia="微软雅黑"/>
          <w:color w:val="auto"/>
          <w:sz w:val="24"/>
          <w:szCs w:val="24"/>
          <w:highlight w:val="none"/>
        </w:rPr>
      </w:pPr>
    </w:p>
    <w:p w14:paraId="0EFE6A2A">
      <w:pPr>
        <w:widowControl/>
        <w:jc w:val="left"/>
        <w:rPr>
          <w:rFonts w:ascii="微软雅黑" w:hAnsi="微软雅黑" w:eastAsia="微软雅黑"/>
          <w:b/>
          <w:color w:val="auto"/>
          <w:sz w:val="24"/>
          <w:szCs w:val="24"/>
          <w:highlight w:val="none"/>
        </w:rPr>
      </w:pPr>
    </w:p>
    <w:p w14:paraId="3F504964">
      <w:pPr>
        <w:widowControl/>
        <w:jc w:val="left"/>
        <w:rPr>
          <w:rFonts w:ascii="微软雅黑" w:hAnsi="微软雅黑" w:eastAsia="微软雅黑"/>
          <w:b/>
          <w:color w:val="auto"/>
          <w:sz w:val="24"/>
          <w:szCs w:val="24"/>
          <w:highlight w:val="none"/>
        </w:rPr>
      </w:pPr>
    </w:p>
    <w:p w14:paraId="2004A74F">
      <w:pPr>
        <w:widowControl/>
        <w:jc w:val="left"/>
        <w:rPr>
          <w:rFonts w:ascii="微软雅黑" w:hAnsi="微软雅黑" w:eastAsia="微软雅黑"/>
          <w:b/>
          <w:color w:val="auto"/>
          <w:sz w:val="24"/>
          <w:szCs w:val="24"/>
          <w:highlight w:val="none"/>
        </w:rPr>
      </w:pPr>
    </w:p>
    <w:p w14:paraId="50BB6A13">
      <w:pPr>
        <w:widowControl/>
        <w:jc w:val="left"/>
        <w:rPr>
          <w:rFonts w:ascii="微软雅黑" w:hAnsi="微软雅黑" w:eastAsia="微软雅黑"/>
          <w:b/>
          <w:color w:val="auto"/>
          <w:sz w:val="24"/>
          <w:szCs w:val="24"/>
          <w:highlight w:val="none"/>
        </w:rPr>
      </w:pPr>
    </w:p>
    <w:p w14:paraId="2D74C5A9">
      <w:pPr>
        <w:widowControl/>
        <w:jc w:val="left"/>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rPr>
        <w:t>注：在页面中输入供应商名称进行查询，两个网站的信用查询截图都必须提供（将查询到的相关信息记录截图，附在响应文件中）。</w:t>
      </w:r>
    </w:p>
    <w:p w14:paraId="3962E723">
      <w:pPr>
        <w:spacing w:line="360" w:lineRule="auto"/>
        <w:ind w:firstLine="482"/>
        <w:rPr>
          <w:rFonts w:ascii="微软雅黑" w:hAnsi="微软雅黑" w:eastAsia="微软雅黑"/>
          <w:color w:val="auto"/>
          <w:sz w:val="24"/>
          <w:szCs w:val="24"/>
          <w:highlight w:val="none"/>
        </w:rPr>
      </w:pPr>
    </w:p>
    <w:p w14:paraId="0BD730B8">
      <w:pPr>
        <w:widowControl/>
        <w:jc w:val="left"/>
        <w:rPr>
          <w:color w:val="auto"/>
          <w:highlight w:val="none"/>
        </w:rPr>
      </w:pPr>
    </w:p>
    <w:p w14:paraId="68EF331C">
      <w:pPr>
        <w:widowControl/>
        <w:jc w:val="left"/>
        <w:rPr>
          <w:color w:val="auto"/>
          <w:highlight w:val="none"/>
        </w:rPr>
      </w:pPr>
    </w:p>
    <w:p w14:paraId="1A77AB16">
      <w:pPr>
        <w:widowControl/>
        <w:jc w:val="left"/>
        <w:rPr>
          <w:color w:val="auto"/>
          <w:highlight w:val="none"/>
        </w:rPr>
      </w:pPr>
    </w:p>
    <w:p w14:paraId="15FDB1D1">
      <w:pPr>
        <w:jc w:val="center"/>
        <w:rPr>
          <w:rFonts w:ascii="微软雅黑" w:hAnsi="微软雅黑" w:eastAsia="微软雅黑"/>
          <w:color w:val="auto"/>
          <w:sz w:val="24"/>
          <w:szCs w:val="24"/>
          <w:highlight w:val="none"/>
        </w:rPr>
      </w:pPr>
    </w:p>
    <w:p w14:paraId="3C686C12">
      <w:pPr>
        <w:jc w:val="center"/>
        <w:rPr>
          <w:rFonts w:ascii="微软雅黑" w:hAnsi="微软雅黑" w:eastAsia="微软雅黑"/>
          <w:color w:val="auto"/>
          <w:sz w:val="24"/>
          <w:szCs w:val="24"/>
          <w:highlight w:val="none"/>
        </w:rPr>
      </w:pPr>
    </w:p>
    <w:p w14:paraId="5B0852D8">
      <w:pPr>
        <w:jc w:val="center"/>
        <w:rPr>
          <w:rFonts w:ascii="微软雅黑" w:hAnsi="微软雅黑" w:eastAsia="微软雅黑"/>
          <w:color w:val="auto"/>
          <w:sz w:val="24"/>
          <w:szCs w:val="24"/>
          <w:highlight w:val="none"/>
        </w:rPr>
      </w:pPr>
    </w:p>
    <w:p w14:paraId="37A0E279">
      <w:pPr>
        <w:rPr>
          <w:color w:val="auto"/>
          <w:highlight w:val="none"/>
        </w:rPr>
      </w:pPr>
    </w:p>
    <w:p w14:paraId="6D09FE9D">
      <w:pPr>
        <w:jc w:val="center"/>
        <w:rPr>
          <w:rFonts w:ascii="微软雅黑" w:hAnsi="微软雅黑" w:eastAsia="微软雅黑"/>
          <w:color w:val="auto"/>
          <w:sz w:val="24"/>
          <w:szCs w:val="24"/>
          <w:highlight w:val="none"/>
        </w:rPr>
      </w:pPr>
    </w:p>
    <w:p w14:paraId="32DB4CCD">
      <w:pPr>
        <w:widowControl/>
        <w:jc w:val="left"/>
        <w:rPr>
          <w:rFonts w:ascii="微软雅黑" w:hAnsi="微软雅黑" w:eastAsia="微软雅黑"/>
          <w:b/>
          <w:color w:val="auto"/>
          <w:sz w:val="28"/>
          <w:szCs w:val="28"/>
          <w:highlight w:val="none"/>
        </w:rPr>
      </w:pPr>
      <w:r>
        <w:rPr>
          <w:rFonts w:ascii="微软雅黑" w:hAnsi="微软雅黑" w:eastAsia="微软雅黑"/>
          <w:b/>
          <w:color w:val="auto"/>
          <w:sz w:val="28"/>
          <w:szCs w:val="28"/>
          <w:highlight w:val="none"/>
        </w:rPr>
        <w:br w:type="page"/>
      </w:r>
    </w:p>
    <w:p w14:paraId="67D6FEAF">
      <w:pPr>
        <w:jc w:val="center"/>
        <w:rPr>
          <w:rFonts w:ascii="微软雅黑" w:hAnsi="微软雅黑" w:eastAsia="微软雅黑"/>
          <w:b/>
          <w:color w:val="auto"/>
          <w:sz w:val="28"/>
          <w:szCs w:val="28"/>
          <w:highlight w:val="none"/>
        </w:rPr>
      </w:pPr>
      <w:r>
        <w:rPr>
          <w:rFonts w:hint="eastAsia" w:ascii="微软雅黑" w:hAnsi="微软雅黑" w:eastAsia="微软雅黑"/>
          <w:b/>
          <w:color w:val="auto"/>
          <w:sz w:val="28"/>
          <w:szCs w:val="28"/>
          <w:highlight w:val="none"/>
        </w:rPr>
        <w:t>6-</w:t>
      </w:r>
      <w:r>
        <w:rPr>
          <w:rFonts w:hint="eastAsia" w:ascii="微软雅黑" w:hAnsi="微软雅黑" w:eastAsia="微软雅黑"/>
          <w:b/>
          <w:color w:val="auto"/>
          <w:sz w:val="28"/>
          <w:szCs w:val="28"/>
          <w:highlight w:val="none"/>
          <w:lang w:val="en-US" w:eastAsia="zh-CN"/>
        </w:rPr>
        <w:t>6</w:t>
      </w:r>
      <w:r>
        <w:rPr>
          <w:rFonts w:hint="eastAsia" w:ascii="微软雅黑" w:hAnsi="微软雅黑" w:eastAsia="微软雅黑"/>
          <w:b/>
          <w:color w:val="auto"/>
          <w:sz w:val="28"/>
          <w:szCs w:val="28"/>
          <w:highlight w:val="none"/>
        </w:rPr>
        <w:t>-2未收录信用查询网站的供应商声明函（格式）</w:t>
      </w:r>
    </w:p>
    <w:p w14:paraId="5F8BF7BC">
      <w:pPr>
        <w:jc w:val="center"/>
        <w:rPr>
          <w:rFonts w:ascii="微软雅黑" w:hAnsi="微软雅黑" w:eastAsia="微软雅黑"/>
          <w:b/>
          <w:color w:val="auto"/>
          <w:sz w:val="24"/>
          <w:szCs w:val="24"/>
          <w:highlight w:val="none"/>
        </w:rPr>
      </w:pPr>
    </w:p>
    <w:p w14:paraId="29742DC4">
      <w:pPr>
        <w:jc w:val="center"/>
        <w:rPr>
          <w:color w:val="auto"/>
          <w:highlight w:val="none"/>
        </w:rPr>
      </w:pPr>
    </w:p>
    <w:p w14:paraId="7583E6FC">
      <w:pPr>
        <w:jc w:val="center"/>
        <w:rPr>
          <w:color w:val="auto"/>
          <w:highlight w:val="none"/>
        </w:rPr>
      </w:pPr>
    </w:p>
    <w:p w14:paraId="43F03AAC">
      <w:pPr>
        <w:spacing w:line="480" w:lineRule="exac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w:t>
      </w:r>
    </w:p>
    <w:p w14:paraId="0C86F1B7">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我公司未被列入失信被执行人、重大税收违法案件当事人名单、政府采购严重违法失信行为记录名单，符合《中华人民共和国政府采购法》第二十二条规定条件。</w:t>
      </w:r>
    </w:p>
    <w:p w14:paraId="4E8794F6">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特此声明。如我公司提供虚假信息，将承担虚假响应的全部责任，并按《中华人民共和国政府采购法》相关法律、法规规定接受处罚。</w:t>
      </w:r>
    </w:p>
    <w:p w14:paraId="1FF46548">
      <w:pPr>
        <w:spacing w:line="480" w:lineRule="auto"/>
        <w:rPr>
          <w:rFonts w:ascii="微软雅黑" w:hAnsi="微软雅黑" w:eastAsia="微软雅黑"/>
          <w:color w:val="auto"/>
          <w:sz w:val="24"/>
          <w:szCs w:val="24"/>
          <w:highlight w:val="none"/>
          <w:u w:val="single"/>
        </w:rPr>
      </w:pPr>
    </w:p>
    <w:p w14:paraId="66A804F4">
      <w:pPr>
        <w:spacing w:line="480" w:lineRule="auto"/>
        <w:rPr>
          <w:rFonts w:ascii="微软雅黑" w:hAnsi="微软雅黑" w:eastAsia="微软雅黑"/>
          <w:color w:val="auto"/>
          <w:sz w:val="24"/>
          <w:szCs w:val="24"/>
          <w:highlight w:val="none"/>
          <w:u w:val="single"/>
        </w:rPr>
      </w:pPr>
    </w:p>
    <w:p w14:paraId="1BC854D4">
      <w:pPr>
        <w:spacing w:line="480" w:lineRule="auto"/>
        <w:rPr>
          <w:rFonts w:ascii="微软雅黑" w:hAnsi="微软雅黑" w:eastAsia="微软雅黑"/>
          <w:color w:val="auto"/>
          <w:sz w:val="24"/>
          <w:szCs w:val="24"/>
          <w:highlight w:val="none"/>
          <w:u w:val="single"/>
        </w:rPr>
      </w:pPr>
    </w:p>
    <w:p w14:paraId="533E9DAF">
      <w:pPr>
        <w:spacing w:line="480" w:lineRule="auto"/>
        <w:rPr>
          <w:rFonts w:ascii="微软雅黑" w:hAnsi="微软雅黑" w:eastAsia="微软雅黑"/>
          <w:color w:val="auto"/>
          <w:sz w:val="24"/>
          <w:szCs w:val="24"/>
          <w:highlight w:val="none"/>
          <w:u w:val="single"/>
        </w:rPr>
      </w:pPr>
    </w:p>
    <w:p w14:paraId="20EA0FA9">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供应商名称(公章)：</w:t>
      </w:r>
      <w:r>
        <w:rPr>
          <w:rFonts w:hint="eastAsia" w:ascii="微软雅黑" w:hAnsi="微软雅黑" w:eastAsia="微软雅黑"/>
          <w:color w:val="auto"/>
          <w:sz w:val="24"/>
          <w:szCs w:val="24"/>
          <w:highlight w:val="none"/>
          <w:u w:val="single"/>
        </w:rPr>
        <w:t xml:space="preserve">                     </w:t>
      </w:r>
    </w:p>
    <w:p w14:paraId="2D40865E">
      <w:pPr>
        <w:spacing w:line="360" w:lineRule="auto"/>
        <w:ind w:firstLine="482"/>
        <w:rPr>
          <w:rFonts w:ascii="微软雅黑" w:hAnsi="微软雅黑" w:eastAsia="微软雅黑"/>
          <w:color w:val="auto"/>
          <w:sz w:val="24"/>
          <w:szCs w:val="24"/>
          <w:highlight w:val="none"/>
          <w:u w:val="single"/>
        </w:rPr>
      </w:pPr>
    </w:p>
    <w:p w14:paraId="25E793A1">
      <w:pPr>
        <w:spacing w:line="360" w:lineRule="auto"/>
        <w:ind w:firstLine="482"/>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hint="eastAsia" w:ascii="微软雅黑" w:hAnsi="微软雅黑" w:eastAsia="微软雅黑"/>
          <w:color w:val="auto"/>
          <w:sz w:val="24"/>
          <w:highlight w:val="none"/>
        </w:rPr>
        <w:t>签字</w:t>
      </w:r>
      <w:r>
        <w:rPr>
          <w:rFonts w:hint="eastAsia" w:ascii="微软雅黑" w:hAnsi="微软雅黑" w:eastAsia="微软雅黑"/>
          <w:color w:val="auto"/>
          <w:sz w:val="24"/>
          <w:szCs w:val="24"/>
          <w:highlight w:val="none"/>
        </w:rPr>
        <w:t xml:space="preserve">：  </w:t>
      </w:r>
      <w:r>
        <w:rPr>
          <w:rFonts w:hint="eastAsia" w:ascii="微软雅黑" w:hAnsi="微软雅黑" w:eastAsia="微软雅黑"/>
          <w:color w:val="auto"/>
          <w:sz w:val="24"/>
          <w:szCs w:val="24"/>
          <w:highlight w:val="none"/>
          <w:u w:val="single"/>
        </w:rPr>
        <w:t xml:space="preserve">            </w:t>
      </w:r>
    </w:p>
    <w:p w14:paraId="18D59B82">
      <w:pPr>
        <w:spacing w:line="360" w:lineRule="auto"/>
        <w:ind w:firstLine="482"/>
        <w:jc w:val="righ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p w14:paraId="775151C2">
      <w:pPr>
        <w:pStyle w:val="3"/>
        <w:rPr>
          <w:color w:val="auto"/>
          <w:highlight w:val="none"/>
        </w:rPr>
      </w:pPr>
      <w:r>
        <w:rPr>
          <w:color w:val="auto"/>
          <w:highlight w:val="none"/>
        </w:rPr>
        <w:br w:type="page"/>
      </w:r>
    </w:p>
    <w:p w14:paraId="2027EA2A">
      <w:pPr>
        <w:spacing w:line="360" w:lineRule="auto"/>
        <w:ind w:firstLine="482"/>
        <w:jc w:val="right"/>
        <w:rPr>
          <w:rFonts w:ascii="微软雅黑" w:hAnsi="微软雅黑" w:eastAsia="微软雅黑"/>
          <w:color w:val="auto"/>
          <w:sz w:val="36"/>
          <w:szCs w:val="36"/>
          <w:highlight w:val="none"/>
        </w:rPr>
        <w:sectPr>
          <w:pgSz w:w="12240" w:h="15840"/>
          <w:pgMar w:top="1440" w:right="1800" w:bottom="1440" w:left="1800" w:header="708" w:footer="708" w:gutter="0"/>
          <w:pgNumType w:fmt="decimal"/>
          <w:cols w:space="720" w:num="1"/>
          <w:docGrid w:linePitch="360" w:charSpace="0"/>
        </w:sectPr>
      </w:pPr>
    </w:p>
    <w:p w14:paraId="196C6A09">
      <w:pPr>
        <w:jc w:val="center"/>
        <w:rPr>
          <w:color w:val="auto"/>
          <w:highlight w:val="none"/>
        </w:rPr>
      </w:pPr>
    </w:p>
    <w:p w14:paraId="42B9C715">
      <w:pPr>
        <w:widowControl/>
        <w:spacing w:line="500" w:lineRule="exact"/>
        <w:jc w:val="center"/>
        <w:rPr>
          <w:rFonts w:hint="default" w:ascii="微软雅黑" w:hAnsi="微软雅黑" w:eastAsia="微软雅黑"/>
          <w:color w:val="auto"/>
          <w:sz w:val="24"/>
          <w:highlight w:val="none"/>
          <w:lang w:val="en-US" w:eastAsia="zh-CN"/>
        </w:rPr>
      </w:pP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7本项目的特定资格要求：</w:t>
      </w:r>
    </w:p>
    <w:p w14:paraId="4D850638">
      <w:pPr>
        <w:jc w:val="center"/>
        <w:rPr>
          <w:rFonts w:hint="eastAsia" w:ascii="微软雅黑" w:hAnsi="微软雅黑" w:eastAsia="微软雅黑"/>
          <w:b/>
          <w:color w:val="auto"/>
          <w:sz w:val="32"/>
          <w:szCs w:val="32"/>
          <w:highlight w:val="none"/>
          <w:lang w:val="en-US" w:eastAsia="zh-CN"/>
        </w:rPr>
      </w:pPr>
    </w:p>
    <w:p w14:paraId="4D7512A6">
      <w:pPr>
        <w:pStyle w:val="10"/>
        <w:rPr>
          <w:rFonts w:hint="eastAsia"/>
          <w:color w:val="auto"/>
          <w:highlight w:val="none"/>
          <w:lang w:val="en-US" w:eastAsia="zh-CN"/>
        </w:rPr>
      </w:pPr>
    </w:p>
    <w:p w14:paraId="5DD4695C">
      <w:pPr>
        <w:rPr>
          <w:rFonts w:hint="eastAsia" w:ascii="微软雅黑" w:hAnsi="微软雅黑" w:eastAsia="微软雅黑"/>
          <w:b/>
          <w:color w:val="auto"/>
          <w:sz w:val="32"/>
          <w:szCs w:val="32"/>
          <w:highlight w:val="none"/>
          <w:lang w:val="en-US" w:eastAsia="zh-CN"/>
        </w:rPr>
      </w:pPr>
      <w:r>
        <w:rPr>
          <w:rFonts w:hint="eastAsia" w:ascii="微软雅黑" w:hAnsi="微软雅黑" w:eastAsia="微软雅黑"/>
          <w:b/>
          <w:color w:val="auto"/>
          <w:sz w:val="32"/>
          <w:szCs w:val="32"/>
          <w:highlight w:val="none"/>
          <w:lang w:val="en-US" w:eastAsia="zh-CN"/>
        </w:rPr>
        <w:br w:type="page"/>
      </w:r>
    </w:p>
    <w:p w14:paraId="3F8B6CD3">
      <w:pPr>
        <w:jc w:val="center"/>
        <w:rPr>
          <w:rFonts w:ascii="微软雅黑" w:hAnsi="微软雅黑" w:eastAsia="微软雅黑"/>
          <w:b/>
          <w:color w:val="auto"/>
          <w:sz w:val="32"/>
          <w:szCs w:val="32"/>
          <w:highlight w:val="none"/>
        </w:rPr>
      </w:pPr>
      <w:r>
        <w:rPr>
          <w:rFonts w:hint="eastAsia" w:ascii="微软雅黑" w:hAnsi="微软雅黑" w:eastAsia="微软雅黑"/>
          <w:b/>
          <w:color w:val="auto"/>
          <w:sz w:val="32"/>
          <w:szCs w:val="32"/>
          <w:highlight w:val="none"/>
          <w:lang w:val="en-US" w:eastAsia="zh-CN"/>
        </w:rPr>
        <w:t>6-8</w:t>
      </w:r>
      <w:r>
        <w:rPr>
          <w:rFonts w:hint="eastAsia" w:ascii="微软雅黑" w:hAnsi="微软雅黑" w:eastAsia="微软雅黑"/>
          <w:b/>
          <w:color w:val="auto"/>
          <w:sz w:val="32"/>
          <w:szCs w:val="32"/>
          <w:highlight w:val="none"/>
        </w:rPr>
        <w:t>比选保证金交纳证明 *</w:t>
      </w:r>
    </w:p>
    <w:p w14:paraId="44EA6327">
      <w:pPr>
        <w:spacing w:line="360" w:lineRule="exact"/>
        <w:jc w:val="center"/>
        <w:rPr>
          <w:rFonts w:ascii="微软雅黑" w:hAnsi="微软雅黑" w:eastAsia="微软雅黑"/>
          <w:color w:val="auto"/>
          <w:sz w:val="24"/>
          <w:highlight w:val="none"/>
        </w:rPr>
      </w:pP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 xml:space="preserve">         </w:t>
      </w:r>
    </w:p>
    <w:p w14:paraId="6189F6C4">
      <w:pPr>
        <w:spacing w:line="360" w:lineRule="auto"/>
        <w:rPr>
          <w:rFonts w:ascii="微软雅黑" w:hAnsi="微软雅黑" w:eastAsia="微软雅黑"/>
          <w:color w:val="auto"/>
          <w:sz w:val="24"/>
          <w:highlight w:val="none"/>
        </w:rPr>
      </w:pPr>
      <w:r>
        <w:rPr>
          <w:rFonts w:hint="eastAsia" w:ascii="微软雅黑" w:hAnsi="微软雅黑" w:eastAsia="微软雅黑"/>
          <w:color w:val="auto"/>
          <w:sz w:val="24"/>
          <w:highlight w:val="none"/>
          <w:lang w:eastAsia="zh-CN"/>
        </w:rPr>
        <w:t>南昌市晨晖招投标咨询服务有限公司</w:t>
      </w:r>
      <w:r>
        <w:rPr>
          <w:rFonts w:hint="eastAsia" w:ascii="微软雅黑" w:hAnsi="微软雅黑" w:eastAsia="微软雅黑"/>
          <w:color w:val="auto"/>
          <w:sz w:val="24"/>
          <w:highlight w:val="none"/>
        </w:rPr>
        <w:t>：</w:t>
      </w:r>
    </w:p>
    <w:p w14:paraId="7E5F0C5D">
      <w:pPr>
        <w:spacing w:line="360" w:lineRule="auto"/>
        <w:ind w:firstLine="480"/>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    </w:t>
      </w:r>
      <w:r>
        <w:rPr>
          <w:rFonts w:hint="eastAsia" w:ascii="微软雅黑" w:hAnsi="微软雅黑" w:eastAsia="微软雅黑"/>
          <w:color w:val="auto"/>
          <w:sz w:val="24"/>
          <w:highlight w:val="none"/>
          <w:u w:val="single"/>
        </w:rPr>
        <w:t xml:space="preserve">     　　　　  </w:t>
      </w:r>
      <w:r>
        <w:rPr>
          <w:rFonts w:hint="eastAsia" w:ascii="微软雅黑" w:hAnsi="微软雅黑" w:eastAsia="微软雅黑"/>
          <w:color w:val="auto"/>
          <w:sz w:val="24"/>
          <w:highlight w:val="none"/>
        </w:rPr>
        <w:t>（供应商全称)参加贵方组织的</w:t>
      </w:r>
      <w:r>
        <w:rPr>
          <w:rFonts w:hint="eastAsia" w:ascii="微软雅黑" w:hAnsi="微软雅黑" w:eastAsia="微软雅黑"/>
          <w:bCs/>
          <w:snapToGrid w:val="0"/>
          <w:color w:val="auto"/>
          <w:kern w:val="0"/>
          <w:sz w:val="24"/>
          <w:szCs w:val="24"/>
          <w:highlight w:val="none"/>
          <w:lang w:eastAsia="zh-CN"/>
        </w:rPr>
        <w:t>红谷滩区现代服务产业园能耗监测系统技术服务（第二次）</w:t>
      </w:r>
      <w:r>
        <w:rPr>
          <w:rFonts w:hint="eastAsia" w:ascii="微软雅黑" w:hAnsi="微软雅黑" w:eastAsia="微软雅黑"/>
          <w:color w:val="auto"/>
          <w:sz w:val="24"/>
          <w:szCs w:val="24"/>
          <w:highlight w:val="none"/>
        </w:rPr>
        <w:t>（采购编号：</w:t>
      </w:r>
      <w:r>
        <w:rPr>
          <w:rFonts w:hint="eastAsia" w:ascii="微软雅黑" w:hAnsi="微软雅黑" w:eastAsia="微软雅黑"/>
          <w:color w:val="auto"/>
          <w:sz w:val="24"/>
          <w:szCs w:val="24"/>
          <w:highlight w:val="none"/>
          <w:lang w:eastAsia="zh-CN"/>
        </w:rPr>
        <w:t>NCCH2026-B0404-1</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highlight w:val="none"/>
        </w:rPr>
        <w:t>的采购活动。我单位按比选文件有关规定，于</w:t>
      </w:r>
      <w:r>
        <w:rPr>
          <w:rFonts w:hint="eastAsia" w:ascii="微软雅黑" w:hAnsi="微软雅黑" w:eastAsia="微软雅黑"/>
          <w:color w:val="auto"/>
          <w:sz w:val="24"/>
          <w:highlight w:val="none"/>
          <w:lang w:eastAsia="zh-CN"/>
        </w:rPr>
        <w:t>2026年</w:t>
      </w:r>
      <w:r>
        <w:rPr>
          <w:rFonts w:hint="eastAsia" w:ascii="微软雅黑" w:hAnsi="微软雅黑" w:eastAsia="微软雅黑"/>
          <w:color w:val="auto"/>
          <w:sz w:val="24"/>
          <w:highlight w:val="none"/>
          <w:u w:val="single"/>
        </w:rPr>
        <w:t xml:space="preserve">  　</w:t>
      </w:r>
      <w:r>
        <w:rPr>
          <w:rFonts w:hint="eastAsia" w:ascii="微软雅黑" w:hAnsi="微软雅黑" w:eastAsia="微软雅黑"/>
          <w:color w:val="auto"/>
          <w:sz w:val="24"/>
          <w:highlight w:val="none"/>
        </w:rPr>
        <w:t>月</w:t>
      </w:r>
      <w:r>
        <w:rPr>
          <w:rFonts w:hint="eastAsia" w:ascii="微软雅黑" w:hAnsi="微软雅黑" w:eastAsia="微软雅黑"/>
          <w:color w:val="auto"/>
          <w:sz w:val="24"/>
          <w:highlight w:val="none"/>
          <w:u w:val="single"/>
        </w:rPr>
        <w:t>　　</w:t>
      </w:r>
      <w:r>
        <w:rPr>
          <w:rFonts w:hint="eastAsia" w:ascii="微软雅黑" w:hAnsi="微软雅黑" w:eastAsia="微软雅黑"/>
          <w:color w:val="auto"/>
          <w:sz w:val="24"/>
          <w:highlight w:val="none"/>
        </w:rPr>
        <w:t>日以</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highlight w:val="none"/>
        </w:rPr>
        <w:t>（转账或电汇）方式向指定的账户一次性缴纳比选保证金</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highlight w:val="none"/>
        </w:rPr>
        <w:t>元整。</w:t>
      </w:r>
    </w:p>
    <w:p w14:paraId="15A79FF4">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公章</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7F9BD43A">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snapToGrid w:val="0"/>
          <w:color w:val="auto"/>
          <w:kern w:val="0"/>
          <w:sz w:val="24"/>
          <w:szCs w:val="24"/>
          <w:highlight w:val="none"/>
        </w:rPr>
        <w:t>法人代表或授权代表</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签字</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r>
        <w:rPr>
          <w:rFonts w:ascii="微软雅黑" w:hAnsi="微软雅黑" w:eastAsia="微软雅黑"/>
          <w:color w:val="auto"/>
          <w:sz w:val="24"/>
          <w:szCs w:val="24"/>
          <w:highlight w:val="none"/>
        </w:rPr>
        <w:t xml:space="preserve">               </w:t>
      </w:r>
      <w:r>
        <w:rPr>
          <w:rFonts w:hint="eastAsia" w:ascii="微软雅黑" w:hAnsi="微软雅黑" w:eastAsia="微软雅黑"/>
          <w:color w:val="auto"/>
          <w:sz w:val="24"/>
          <w:szCs w:val="24"/>
          <w:highlight w:val="none"/>
        </w:rPr>
        <w:t xml:space="preserve">        </w:t>
      </w:r>
    </w:p>
    <w:p w14:paraId="4F445872">
      <w:pPr>
        <w:spacing w:line="360" w:lineRule="auto"/>
        <w:ind w:firstLine="482"/>
        <w:jc w:val="right"/>
        <w:rPr>
          <w:rFonts w:ascii="微软雅黑" w:hAnsi="微软雅黑" w:eastAsia="微软雅黑"/>
          <w:color w:val="auto"/>
          <w:sz w:val="24"/>
          <w:highlight w:val="none"/>
        </w:rPr>
      </w:pP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9"/>
      </w:tblGrid>
      <w:tr w14:paraId="31BE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1" w:hRule="atLeast"/>
          <w:jc w:val="center"/>
        </w:trPr>
        <w:tc>
          <w:tcPr>
            <w:tcW w:w="8949" w:type="dxa"/>
            <w:vAlign w:val="center"/>
          </w:tcPr>
          <w:p w14:paraId="2126360A">
            <w:pPr>
              <w:spacing w:line="480" w:lineRule="exact"/>
              <w:ind w:firstLine="482"/>
              <w:jc w:val="center"/>
              <w:rPr>
                <w:rFonts w:ascii="微软雅黑" w:hAnsi="微软雅黑" w:eastAsia="微软雅黑"/>
                <w:color w:val="auto"/>
                <w:sz w:val="24"/>
                <w:highlight w:val="none"/>
              </w:rPr>
            </w:pPr>
            <w:r>
              <w:rPr>
                <w:rFonts w:hint="eastAsia" w:ascii="微软雅黑" w:hAnsi="微软雅黑" w:eastAsia="微软雅黑"/>
                <w:color w:val="auto"/>
                <w:sz w:val="24"/>
                <w:highlight w:val="none"/>
              </w:rPr>
              <w:t>有效的比选响应保证金交纳凭证</w:t>
            </w:r>
          </w:p>
        </w:tc>
      </w:tr>
    </w:tbl>
    <w:p w14:paraId="2B50BFC5">
      <w:pPr>
        <w:pStyle w:val="12"/>
        <w:adjustRightInd w:val="0"/>
        <w:snapToGrid w:val="0"/>
        <w:spacing w:line="360" w:lineRule="auto"/>
        <w:rPr>
          <w:rFonts w:ascii="微软雅黑" w:hAnsi="微软雅黑" w:eastAsia="微软雅黑"/>
          <w:color w:val="auto"/>
          <w:highlight w:val="none"/>
        </w:rPr>
      </w:pPr>
    </w:p>
    <w:p w14:paraId="239BD56B">
      <w:pPr>
        <w:jc w:val="center"/>
        <w:rPr>
          <w:color w:val="auto"/>
          <w:highlight w:val="none"/>
        </w:rPr>
      </w:pPr>
    </w:p>
    <w:p w14:paraId="50DB2461">
      <w:pPr>
        <w:jc w:val="center"/>
        <w:rPr>
          <w:color w:val="auto"/>
          <w:highlight w:val="none"/>
        </w:rPr>
      </w:pPr>
    </w:p>
    <w:p w14:paraId="36327401">
      <w:pPr>
        <w:pStyle w:val="26"/>
        <w:rPr>
          <w:color w:val="auto"/>
          <w:sz w:val="28"/>
          <w:szCs w:val="28"/>
          <w:highlight w:val="none"/>
        </w:rPr>
      </w:pPr>
    </w:p>
    <w:bookmarkEnd w:id="188"/>
    <w:bookmarkEnd w:id="189"/>
    <w:p w14:paraId="4F7B6693">
      <w:pPr>
        <w:pStyle w:val="12"/>
        <w:adjustRightInd w:val="0"/>
        <w:snapToGrid w:val="0"/>
        <w:spacing w:line="360" w:lineRule="auto"/>
        <w:rPr>
          <w:rFonts w:ascii="微软雅黑" w:hAnsi="微软雅黑" w:eastAsia="微软雅黑"/>
          <w:color w:val="auto"/>
          <w:highlight w:val="none"/>
        </w:rPr>
      </w:pPr>
    </w:p>
    <w:p w14:paraId="5C7ACEFE">
      <w:pPr>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 </w:t>
      </w:r>
    </w:p>
    <w:bookmarkEnd w:id="190"/>
    <w:p w14:paraId="5B04222F">
      <w:pPr>
        <w:spacing w:line="360" w:lineRule="auto"/>
        <w:jc w:val="left"/>
        <w:rPr>
          <w:rFonts w:ascii="微软雅黑" w:hAnsi="微软雅黑" w:eastAsia="微软雅黑"/>
          <w:color w:val="auto"/>
          <w:sz w:val="24"/>
          <w:highlight w:val="none"/>
        </w:rPr>
      </w:pPr>
    </w:p>
    <w:p w14:paraId="5F3745C1">
      <w:pPr>
        <w:pStyle w:val="4"/>
        <w:numPr>
          <w:ilvl w:val="0"/>
          <w:numId w:val="5"/>
        </w:numPr>
        <w:spacing w:before="0" w:after="0" w:line="360" w:lineRule="auto"/>
        <w:rPr>
          <w:rFonts w:ascii="微软雅黑" w:hAnsi="微软雅黑" w:eastAsia="微软雅黑"/>
          <w:color w:val="auto"/>
          <w:sz w:val="36"/>
          <w:szCs w:val="36"/>
          <w:highlight w:val="none"/>
        </w:rPr>
      </w:pPr>
      <w:bookmarkStart w:id="194" w:name="_Toc436834395"/>
      <w:bookmarkEnd w:id="194"/>
      <w:bookmarkStart w:id="195" w:name="_Toc436834367"/>
      <w:bookmarkEnd w:id="195"/>
      <w:bookmarkStart w:id="196" w:name="_Toc436834388"/>
      <w:bookmarkEnd w:id="196"/>
      <w:bookmarkStart w:id="197" w:name="_Toc436834339"/>
      <w:bookmarkEnd w:id="197"/>
      <w:bookmarkStart w:id="198" w:name="_Toc436834409"/>
      <w:bookmarkEnd w:id="198"/>
      <w:bookmarkStart w:id="199" w:name="_Toc436834444"/>
      <w:bookmarkEnd w:id="199"/>
      <w:bookmarkStart w:id="200" w:name="_Toc436834374"/>
      <w:bookmarkEnd w:id="200"/>
      <w:bookmarkStart w:id="201" w:name="_Toc436834402"/>
      <w:bookmarkEnd w:id="201"/>
      <w:bookmarkStart w:id="202" w:name="_Toc436834353"/>
      <w:bookmarkEnd w:id="202"/>
      <w:bookmarkStart w:id="203" w:name="_Toc436834331"/>
      <w:bookmarkEnd w:id="203"/>
      <w:bookmarkStart w:id="204" w:name="_Toc436834416"/>
      <w:bookmarkEnd w:id="204"/>
      <w:bookmarkStart w:id="205" w:name="_Toc436834360"/>
      <w:bookmarkEnd w:id="205"/>
      <w:bookmarkStart w:id="206" w:name="_Toc436834381"/>
      <w:bookmarkEnd w:id="206"/>
      <w:bookmarkStart w:id="207" w:name="_Toc436834458"/>
      <w:bookmarkEnd w:id="207"/>
      <w:bookmarkStart w:id="208" w:name="_Toc436834430"/>
      <w:bookmarkEnd w:id="208"/>
      <w:bookmarkStart w:id="209" w:name="_Toc436834451"/>
      <w:bookmarkEnd w:id="209"/>
      <w:bookmarkStart w:id="210" w:name="_Toc436834437"/>
      <w:bookmarkEnd w:id="210"/>
      <w:bookmarkStart w:id="211" w:name="_Toc436834346"/>
      <w:bookmarkEnd w:id="211"/>
      <w:bookmarkStart w:id="212" w:name="_Toc436834423"/>
      <w:bookmarkEnd w:id="212"/>
      <w:bookmarkStart w:id="213" w:name="_Toc8377137"/>
      <w:bookmarkStart w:id="214" w:name="_Toc141782539"/>
      <w:bookmarkStart w:id="215" w:name="_Toc495011294"/>
      <w:bookmarkStart w:id="216" w:name="_Toc26155"/>
      <w:bookmarkStart w:id="217" w:name="_Toc495007848"/>
      <w:r>
        <w:rPr>
          <w:rFonts w:hint="eastAsia" w:ascii="微软雅黑" w:hAnsi="微软雅黑" w:eastAsia="微软雅黑"/>
          <w:color w:val="auto"/>
          <w:sz w:val="36"/>
          <w:szCs w:val="36"/>
          <w:highlight w:val="none"/>
        </w:rPr>
        <w:t>其它材料</w:t>
      </w:r>
      <w:bookmarkEnd w:id="213"/>
      <w:bookmarkEnd w:id="214"/>
      <w:bookmarkEnd w:id="215"/>
      <w:bookmarkEnd w:id="216"/>
      <w:bookmarkEnd w:id="217"/>
      <w:bookmarkStart w:id="218" w:name="_Toc436834462"/>
      <w:bookmarkEnd w:id="218"/>
    </w:p>
    <w:bookmarkEnd w:id="170"/>
    <w:p w14:paraId="14B9C807">
      <w:pPr>
        <w:ind w:firstLine="991" w:firstLineChars="472"/>
        <w:rPr>
          <w:rFonts w:ascii="微软雅黑" w:hAnsi="微软雅黑" w:eastAsia="微软雅黑"/>
          <w:color w:val="auto"/>
          <w:highlight w:val="none"/>
        </w:rPr>
      </w:pPr>
    </w:p>
    <w:p w14:paraId="322FB997">
      <w:pPr>
        <w:rPr>
          <w:color w:val="auto"/>
          <w:highlight w:val="none"/>
        </w:rPr>
      </w:pPr>
    </w:p>
    <w:p w14:paraId="01D74BA5">
      <w:pPr>
        <w:rPr>
          <w:color w:val="auto"/>
          <w:highlight w:val="none"/>
        </w:rPr>
      </w:pPr>
    </w:p>
    <w:sectPr>
      <w:headerReference r:id="rId33" w:type="default"/>
      <w:pgSz w:w="11906" w:h="16838"/>
      <w:pgMar w:top="1440" w:right="991" w:bottom="1440" w:left="1797"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336B">
    <w:pPr>
      <w:pStyle w:val="14"/>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F1D3B">
    <w:pPr>
      <w:pStyle w:val="14"/>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77A21">
                          <w:pPr>
                            <w:pStyle w:val="14"/>
                            <w:jc w:val="center"/>
                          </w:pPr>
                          <w:r>
                            <w:fldChar w:fldCharType="begin"/>
                          </w:r>
                          <w:r>
                            <w:instrText xml:space="preserve"> PAGE   \* MERGEFORMAT </w:instrText>
                          </w:r>
                          <w:r>
                            <w:fldChar w:fldCharType="separate"/>
                          </w:r>
                          <w:r>
                            <w:rPr>
                              <w:lang w:val="zh-CN"/>
                            </w:rPr>
                            <w:t>28</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6E77A21">
                    <w:pPr>
                      <w:pStyle w:val="14"/>
                      <w:jc w:val="center"/>
                    </w:pPr>
                    <w:r>
                      <w:fldChar w:fldCharType="begin"/>
                    </w:r>
                    <w:r>
                      <w:instrText xml:space="preserve"> PAGE   \* MERGEFORMAT </w:instrText>
                    </w:r>
                    <w:r>
                      <w:fldChar w:fldCharType="separate"/>
                    </w:r>
                    <w:r>
                      <w:rPr>
                        <w:lang w:val="zh-CN"/>
                      </w:rPr>
                      <w:t>28</w:t>
                    </w:r>
                    <w:r>
                      <w:rPr>
                        <w:lang w:val="zh-CN"/>
                      </w:rPr>
                      <w:fldChar w:fldCharType="end"/>
                    </w:r>
                  </w:p>
                </w:txbxContent>
              </v:textbox>
            </v:shape>
          </w:pict>
        </mc:Fallback>
      </mc:AlternateContent>
    </w:r>
  </w:p>
  <w:p w14:paraId="16C84882">
    <w:pPr>
      <w:pStyle w:val="1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0CA4B">
    <w:pPr>
      <w:pStyle w:val="14"/>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02578C">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D02578C">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3BCF0">
    <w:pPr>
      <w:pStyle w:val="14"/>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BC7CD7">
                          <w:pPr>
                            <w:pStyle w:val="1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2BC7CD7">
                    <w:pPr>
                      <w:pStyle w:val="14"/>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4CB9A">
    <w:pPr>
      <w:pStyle w:val="14"/>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090ED9">
                          <w:pPr>
                            <w:pStyle w:val="1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E090ED9">
                    <w:pPr>
                      <w:pStyle w:val="14"/>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BF80E">
    <w:pPr>
      <w:pStyle w:val="14"/>
      <w:framePr w:wrap="around" w:vAnchor="text" w:hAnchor="margin" w:xAlign="right" w:y="1"/>
      <w:rPr>
        <w:rStyle w:val="24"/>
      </w:rPr>
    </w:pPr>
    <w:r>
      <w:fldChar w:fldCharType="begin"/>
    </w:r>
    <w:r>
      <w:rPr>
        <w:rStyle w:val="24"/>
      </w:rPr>
      <w:instrText xml:space="preserve">PAGE  </w:instrText>
    </w:r>
    <w:r>
      <w:fldChar w:fldCharType="end"/>
    </w:r>
  </w:p>
  <w:p w14:paraId="2A1E7CC2">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87882">
    <w:pPr>
      <w:pStyle w:val="14"/>
      <w:framePr w:wrap="around" w:vAnchor="text" w:hAnchor="margin" w:xAlign="right" w:y="1"/>
      <w:rPr>
        <w:rStyle w:val="24"/>
      </w:rPr>
    </w:pPr>
    <w:r>
      <w:fldChar w:fldCharType="begin"/>
    </w:r>
    <w:r>
      <w:rPr>
        <w:rStyle w:val="24"/>
      </w:rPr>
      <w:instrText xml:space="preserve">PAGE  </w:instrText>
    </w:r>
    <w:r>
      <w:fldChar w:fldCharType="separate"/>
    </w:r>
    <w:r>
      <w:rPr>
        <w:rStyle w:val="24"/>
      </w:rPr>
      <w:t>2</w:t>
    </w:r>
    <w:r>
      <w:fldChar w:fldCharType="end"/>
    </w:r>
  </w:p>
  <w:p w14:paraId="6AEE9B66">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15B41">
    <w:pPr>
      <w:pStyle w:val="14"/>
      <w:jc w:val="center"/>
    </w:pPr>
  </w:p>
  <w:p w14:paraId="3F083469">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AB9A">
    <w:pPr>
      <w:pStyle w:val="14"/>
      <w:pBdr>
        <w:top w:val="none" w:color="auto" w:sz="0" w:space="1"/>
        <w:left w:val="none" w:color="auto" w:sz="0" w:space="0"/>
        <w:bottom w:val="none" w:color="auto" w:sz="0" w:space="0"/>
        <w:right w:val="none" w:color="auto" w:sz="0" w:space="0"/>
        <w:between w:val="none" w:color="auto" w:sz="0" w:space="0"/>
      </w:pBdr>
      <w:tabs>
        <w:tab w:val="clear" w:pos="4153"/>
        <w:tab w:val="clear" w:pos="8306"/>
      </w:tabs>
      <w:spacing w:line="400" w:lineRule="exact"/>
      <w:rPr>
        <w:rFonts w:ascii="宋体" w:hAnsi="宋体"/>
        <w:sz w:val="22"/>
        <w:szCs w:val="22"/>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10E44">
                          <w:pPr>
                            <w:pStyle w:val="1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AA10E44">
                    <w:pPr>
                      <w:pStyle w:val="1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17C3D">
    <w:pPr>
      <w:pStyle w:val="14"/>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95DD2">
                          <w:pPr>
                            <w:pStyle w:val="1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A895DD2">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21ADD">
    <w:pPr>
      <w:pStyle w:val="14"/>
      <w:framePr w:wrap="around" w:vAnchor="text" w:hAnchor="margin" w:xAlign="right" w:y="1"/>
      <w:rPr>
        <w:rStyle w:val="24"/>
      </w:rPr>
    </w:pPr>
    <w:r>
      <w:fldChar w:fldCharType="begin"/>
    </w:r>
    <w:r>
      <w:rPr>
        <w:rStyle w:val="24"/>
      </w:rPr>
      <w:instrText xml:space="preserve">PAGE  </w:instrText>
    </w:r>
    <w:r>
      <w:fldChar w:fldCharType="separate"/>
    </w:r>
    <w:r>
      <w:rPr>
        <w:rStyle w:val="24"/>
      </w:rPr>
      <w:t>6</w:t>
    </w:r>
    <w:r>
      <w:fldChar w:fldCharType="end"/>
    </w:r>
  </w:p>
  <w:p w14:paraId="65B08C03">
    <w:pPr>
      <w:pStyle w:val="1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5F077">
    <w:pPr>
      <w:pStyle w:val="14"/>
      <w:jc w:val="center"/>
    </w:pPr>
    <w:r>
      <w:fldChar w:fldCharType="begin"/>
    </w:r>
    <w:r>
      <w:instrText xml:space="preserve"> PAGE   \* MERGEFORMAT </w:instrText>
    </w:r>
    <w:r>
      <w:fldChar w:fldCharType="separate"/>
    </w:r>
    <w:r>
      <w:rPr>
        <w:lang w:val="zh-CN"/>
      </w:rPr>
      <w:t>28</w:t>
    </w:r>
    <w:r>
      <w:rPr>
        <w:lang w:val="zh-CN"/>
      </w:rPr>
      <w:fldChar w:fldCharType="end"/>
    </w:r>
  </w:p>
  <w:p w14:paraId="5D1DF570">
    <w:pPr>
      <w:pStyle w:val="1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45C24">
    <w:pPr>
      <w:pStyle w:val="14"/>
      <w:ind w:right="36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EABD9">
                          <w:pPr>
                            <w:pStyle w:val="1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91EABD9">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1009">
    <w:pPr>
      <w:pStyle w:val="15"/>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791C3">
    <w:r>
      <w:rPr>
        <w:rFonts w:hint="eastAsia"/>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D0EE8">
    <w:pPr>
      <w:pStyle w:val="15"/>
      <w:pBdr>
        <w:bottom w:val="none" w:color="auto" w:sz="0" w:space="0"/>
      </w:pBdr>
      <w:jc w:val="left"/>
      <w:rPr>
        <w:u w:val="single"/>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7195E">
    <w:r>
      <w:rPr>
        <w:rFonts w:hint="eastAsia"/>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222BA">
    <w:pPr>
      <w:pStyle w:val="15"/>
      <w:pBdr>
        <w:bottom w:val="none" w:color="auto" w:sz="0" w:space="0"/>
      </w:pBdr>
      <w:jc w:val="left"/>
      <w:rPr>
        <w:u w:val="single"/>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5F16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B4A3E">
    <w:pPr>
      <w:pStyle w:val="15"/>
      <w:pBdr>
        <w:bottom w:val="none" w:color="auto" w:sz="0" w:space="0"/>
      </w:pBdr>
      <w:jc w:val="left"/>
      <w:rPr>
        <w:u w:val="single"/>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12B90"/>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E90BD">
    <w:pPr>
      <w:pStyle w:val="15"/>
      <w:pBdr>
        <w:bottom w:val="none" w:color="auto" w:sz="0" w:space="0"/>
      </w:pBdr>
      <w:jc w:val="left"/>
      <w:rPr>
        <w:u w:val="single"/>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F25FB">
    <w:pPr>
      <w:pStyle w:val="15"/>
      <w:pBdr>
        <w:bottom w:val="none" w:color="auto" w:sz="0" w:space="0"/>
      </w:pBdr>
      <w:jc w:val="left"/>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E1444">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57069"/>
  <w:p w14:paraId="7EBEE7D3"/>
  <w:p w14:paraId="43E1DB0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879E4">
    <w:pPr>
      <w:pStyle w:val="15"/>
      <w:pBdr>
        <w:bottom w:val="none" w:color="auto" w:sz="0" w:space="0"/>
      </w:pBdr>
      <w:jc w:val="left"/>
      <w:rPr>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6BF3">
    <w:pPr>
      <w:pStyle w:val="1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47291">
    <w:pPr>
      <w:pStyle w:val="15"/>
      <w:jc w:val="left"/>
      <w:rPr>
        <w:rFonts w:ascii="微软雅黑" w:hAnsi="微软雅黑" w:eastAsia="微软雅黑"/>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49373">
    <w:pPr>
      <w:pStyle w:val="15"/>
      <w:pBdr>
        <w:top w:val="none" w:color="auto" w:sz="0" w:space="0"/>
        <w:left w:val="none" w:color="auto" w:sz="0" w:space="0"/>
        <w:bottom w:val="none" w:color="auto" w:sz="0" w:space="1"/>
        <w:right w:val="none" w:color="auto" w:sz="0" w:space="0"/>
        <w:between w:val="none" w:color="auto" w:sz="0" w:space="0"/>
      </w:pBdr>
      <w:jc w:val="righ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55048">
    <w:pPr>
      <w:pStyle w:val="15"/>
      <w:pBdr>
        <w:bottom w:val="none" w:color="auto" w:sz="0" w:space="0"/>
      </w:pBdr>
      <w:jc w:val="left"/>
      <w:rPr>
        <w:u w:val="single"/>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F168C">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0"/>
    <w:multiLevelType w:val="multilevel"/>
    <w:tmpl w:val="00000010"/>
    <w:lvl w:ilvl="0" w:tentative="0">
      <w:start w:val="1"/>
      <w:numFmt w:val="chineseCountingThousand"/>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C4369B8"/>
    <w:multiLevelType w:val="multilevel"/>
    <w:tmpl w:val="1C4369B8"/>
    <w:lvl w:ilvl="0" w:tentative="0">
      <w:start w:val="1"/>
      <w:numFmt w:val="decimal"/>
      <w:lvlText w:val="%1、"/>
      <w:lvlJc w:val="left"/>
      <w:pPr>
        <w:ind w:left="1260" w:hanging="420"/>
      </w:pPr>
      <w:rPr>
        <w:rFonts w:hint="default"/>
      </w:rPr>
    </w:lvl>
    <w:lvl w:ilvl="1" w:tentative="0">
      <w:start w:val="1"/>
      <w:numFmt w:val="lowerLetter"/>
      <w:lvlText w:val="%2)"/>
      <w:lvlJc w:val="left"/>
      <w:pPr>
        <w:ind w:left="1255" w:hanging="420"/>
      </w:pPr>
    </w:lvl>
    <w:lvl w:ilvl="2" w:tentative="0">
      <w:start w:val="3"/>
      <w:numFmt w:val="chineseCountingThousand"/>
      <w:lvlText w:val="%3、"/>
      <w:lvlJc w:val="left"/>
      <w:pPr>
        <w:ind w:left="1675" w:hanging="420"/>
      </w:pPr>
      <w:rPr>
        <w:rFonts w:hint="eastAsia"/>
      </w:rPr>
    </w:lvl>
    <w:lvl w:ilvl="3" w:tentative="0">
      <w:start w:val="1"/>
      <w:numFmt w:val="decimal"/>
      <w:lvlText w:val="%4."/>
      <w:lvlJc w:val="left"/>
      <w:pPr>
        <w:ind w:left="2095" w:hanging="420"/>
      </w:pPr>
    </w:lvl>
    <w:lvl w:ilvl="4" w:tentative="0">
      <w:start w:val="1"/>
      <w:numFmt w:val="lowerLetter"/>
      <w:lvlText w:val="%5)"/>
      <w:lvlJc w:val="left"/>
      <w:pPr>
        <w:ind w:left="2515" w:hanging="420"/>
      </w:pPr>
    </w:lvl>
    <w:lvl w:ilvl="5" w:tentative="0">
      <w:start w:val="1"/>
      <w:numFmt w:val="lowerRoman"/>
      <w:lvlText w:val="%6."/>
      <w:lvlJc w:val="right"/>
      <w:pPr>
        <w:ind w:left="2935" w:hanging="420"/>
      </w:pPr>
    </w:lvl>
    <w:lvl w:ilvl="6" w:tentative="0">
      <w:start w:val="1"/>
      <w:numFmt w:val="decimal"/>
      <w:lvlText w:val="%7."/>
      <w:lvlJc w:val="left"/>
      <w:pPr>
        <w:ind w:left="3355" w:hanging="420"/>
      </w:pPr>
    </w:lvl>
    <w:lvl w:ilvl="7" w:tentative="0">
      <w:start w:val="1"/>
      <w:numFmt w:val="lowerLetter"/>
      <w:lvlText w:val="%8)"/>
      <w:lvlJc w:val="left"/>
      <w:pPr>
        <w:ind w:left="3775" w:hanging="420"/>
      </w:pPr>
    </w:lvl>
    <w:lvl w:ilvl="8" w:tentative="0">
      <w:start w:val="1"/>
      <w:numFmt w:val="lowerRoman"/>
      <w:lvlText w:val="%9."/>
      <w:lvlJc w:val="right"/>
      <w:pPr>
        <w:ind w:left="4195" w:hanging="420"/>
      </w:pPr>
    </w:lvl>
  </w:abstractNum>
  <w:abstractNum w:abstractNumId="2">
    <w:nsid w:val="26DB64E6"/>
    <w:multiLevelType w:val="multilevel"/>
    <w:tmpl w:val="26DB64E6"/>
    <w:lvl w:ilvl="0" w:tentative="0">
      <w:start w:val="4"/>
      <w:numFmt w:val="chineseCountingThousand"/>
      <w:lvlText w:val="%1、"/>
      <w:lvlJc w:val="left"/>
      <w:pPr>
        <w:ind w:left="420" w:hanging="420"/>
      </w:pPr>
      <w:rPr>
        <w:rFonts w:hint="eastAsia" w:ascii="微软雅黑" w:hAnsi="微软雅黑" w:eastAsia="微软雅黑"/>
        <w:b/>
        <w:sz w:val="36"/>
        <w:szCs w:val="36"/>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C63A4B"/>
    <w:multiLevelType w:val="multilevel"/>
    <w:tmpl w:val="29C63A4B"/>
    <w:lvl w:ilvl="0" w:tentative="0">
      <w:start w:val="1"/>
      <w:numFmt w:val="japaneseCounting"/>
      <w:lvlText w:val="%1、"/>
      <w:lvlJc w:val="left"/>
      <w:pPr>
        <w:tabs>
          <w:tab w:val="left" w:pos="1080"/>
        </w:tabs>
        <w:ind w:left="1080" w:hanging="1080"/>
      </w:pPr>
      <w:rPr>
        <w:rFonts w:hint="default" w:ascii="微软雅黑" w:hAnsi="微软雅黑" w:eastAsia="微软雅黑"/>
        <w:b/>
        <w:sz w:val="36"/>
        <w:szCs w:val="36"/>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4DF0AF1"/>
    <w:multiLevelType w:val="multilevel"/>
    <w:tmpl w:val="64DF0AF1"/>
    <w:lvl w:ilvl="0" w:tentative="0">
      <w:start w:val="1"/>
      <w:numFmt w:val="chineseCountingThousand"/>
      <w:lvlText w:val="%1、"/>
      <w:lvlJc w:val="left"/>
      <w:pPr>
        <w:ind w:left="420" w:hanging="420"/>
      </w:pPr>
      <w:rPr>
        <w:rFonts w:hint="eastAsia"/>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F3F7543"/>
    <w:multiLevelType w:val="multilevel"/>
    <w:tmpl w:val="7F3F7543"/>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22C16"/>
    <w:rsid w:val="0361034C"/>
    <w:rsid w:val="03AF1619"/>
    <w:rsid w:val="03DF4B76"/>
    <w:rsid w:val="06163A07"/>
    <w:rsid w:val="098135C9"/>
    <w:rsid w:val="0A732E7A"/>
    <w:rsid w:val="0DB53C92"/>
    <w:rsid w:val="0E0E24B2"/>
    <w:rsid w:val="0FC6038C"/>
    <w:rsid w:val="11587097"/>
    <w:rsid w:val="12950421"/>
    <w:rsid w:val="146F7DD2"/>
    <w:rsid w:val="15655FDB"/>
    <w:rsid w:val="15711F47"/>
    <w:rsid w:val="160859C0"/>
    <w:rsid w:val="194D6D12"/>
    <w:rsid w:val="19642B69"/>
    <w:rsid w:val="1A9058A9"/>
    <w:rsid w:val="1B1B7066"/>
    <w:rsid w:val="1BDC5F4B"/>
    <w:rsid w:val="1C0D0484"/>
    <w:rsid w:val="1CD64203"/>
    <w:rsid w:val="1FA3607E"/>
    <w:rsid w:val="21760D87"/>
    <w:rsid w:val="224C47AB"/>
    <w:rsid w:val="2366364A"/>
    <w:rsid w:val="249664CA"/>
    <w:rsid w:val="25827D8E"/>
    <w:rsid w:val="26710966"/>
    <w:rsid w:val="267305E5"/>
    <w:rsid w:val="2721417A"/>
    <w:rsid w:val="275C0D8F"/>
    <w:rsid w:val="2CE57444"/>
    <w:rsid w:val="2CFA3055"/>
    <w:rsid w:val="2EB748C7"/>
    <w:rsid w:val="2FD858D0"/>
    <w:rsid w:val="30AB0CE7"/>
    <w:rsid w:val="30F8681F"/>
    <w:rsid w:val="31344D88"/>
    <w:rsid w:val="31485F05"/>
    <w:rsid w:val="31C53C32"/>
    <w:rsid w:val="32032DB7"/>
    <w:rsid w:val="322D17D7"/>
    <w:rsid w:val="329316B4"/>
    <w:rsid w:val="348271E1"/>
    <w:rsid w:val="35AA1A97"/>
    <w:rsid w:val="37DA5F5D"/>
    <w:rsid w:val="385112E7"/>
    <w:rsid w:val="388C78ED"/>
    <w:rsid w:val="395E50E6"/>
    <w:rsid w:val="3BFE6384"/>
    <w:rsid w:val="3DBB413B"/>
    <w:rsid w:val="3E854E75"/>
    <w:rsid w:val="4041301D"/>
    <w:rsid w:val="40BC291E"/>
    <w:rsid w:val="41111135"/>
    <w:rsid w:val="4129683E"/>
    <w:rsid w:val="41847666"/>
    <w:rsid w:val="43B655A2"/>
    <w:rsid w:val="43E7727C"/>
    <w:rsid w:val="45663639"/>
    <w:rsid w:val="46776655"/>
    <w:rsid w:val="471F573B"/>
    <w:rsid w:val="494F67AB"/>
    <w:rsid w:val="4B117A90"/>
    <w:rsid w:val="4BF2341E"/>
    <w:rsid w:val="4D56542A"/>
    <w:rsid w:val="4F5A37B4"/>
    <w:rsid w:val="4F890E9E"/>
    <w:rsid w:val="4FBF0563"/>
    <w:rsid w:val="4FDC25BC"/>
    <w:rsid w:val="51001C6B"/>
    <w:rsid w:val="52346357"/>
    <w:rsid w:val="535D7F7D"/>
    <w:rsid w:val="53E06252"/>
    <w:rsid w:val="54026C65"/>
    <w:rsid w:val="557430F6"/>
    <w:rsid w:val="564725B8"/>
    <w:rsid w:val="58093FC9"/>
    <w:rsid w:val="58E63AD8"/>
    <w:rsid w:val="598F6750"/>
    <w:rsid w:val="59956B6A"/>
    <w:rsid w:val="5A8F2E45"/>
    <w:rsid w:val="5AAB580B"/>
    <w:rsid w:val="5B472212"/>
    <w:rsid w:val="5E693A13"/>
    <w:rsid w:val="5F274230"/>
    <w:rsid w:val="5F347C24"/>
    <w:rsid w:val="5F603C56"/>
    <w:rsid w:val="5F906191"/>
    <w:rsid w:val="603728C5"/>
    <w:rsid w:val="61333E65"/>
    <w:rsid w:val="626F08D2"/>
    <w:rsid w:val="64590086"/>
    <w:rsid w:val="649C73B9"/>
    <w:rsid w:val="689B21CE"/>
    <w:rsid w:val="68AE52C9"/>
    <w:rsid w:val="6921463E"/>
    <w:rsid w:val="69434E61"/>
    <w:rsid w:val="6988271D"/>
    <w:rsid w:val="69A15FE9"/>
    <w:rsid w:val="6A0D34AD"/>
    <w:rsid w:val="6A823079"/>
    <w:rsid w:val="6AB8422B"/>
    <w:rsid w:val="6AB84C7D"/>
    <w:rsid w:val="6C382C77"/>
    <w:rsid w:val="6D6868F1"/>
    <w:rsid w:val="6DE50925"/>
    <w:rsid w:val="6FCF38F2"/>
    <w:rsid w:val="72A11576"/>
    <w:rsid w:val="73D94D40"/>
    <w:rsid w:val="73F90F8B"/>
    <w:rsid w:val="75461F61"/>
    <w:rsid w:val="770D18E9"/>
    <w:rsid w:val="79352A18"/>
    <w:rsid w:val="7997722F"/>
    <w:rsid w:val="7A9D7E7D"/>
    <w:rsid w:val="7AEA7832"/>
    <w:rsid w:val="7E8A0558"/>
    <w:rsid w:val="7F125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31"/>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32"/>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toa heading"/>
    <w:basedOn w:val="1"/>
    <w:next w:val="1"/>
    <w:qFormat/>
    <w:uiPriority w:val="0"/>
    <w:pPr>
      <w:spacing w:before="120"/>
    </w:pPr>
    <w:rPr>
      <w:rFonts w:ascii="Cambria" w:hAnsi="Cambria"/>
      <w:sz w:val="24"/>
    </w:rPr>
  </w:style>
  <w:style w:type="paragraph" w:styleId="8">
    <w:name w:val="annotation text"/>
    <w:basedOn w:val="1"/>
    <w:link w:val="28"/>
    <w:qFormat/>
    <w:uiPriority w:val="0"/>
    <w:pPr>
      <w:jc w:val="left"/>
    </w:pPr>
  </w:style>
  <w:style w:type="paragraph" w:styleId="9">
    <w:name w:val="Body Text"/>
    <w:basedOn w:val="1"/>
    <w:qFormat/>
    <w:uiPriority w:val="99"/>
    <w:pPr>
      <w:spacing w:after="120"/>
    </w:pPr>
    <w:rPr>
      <w:kern w:val="0"/>
    </w:rPr>
  </w:style>
  <w:style w:type="paragraph" w:styleId="10">
    <w:name w:val="Body Text Indent"/>
    <w:basedOn w:val="1"/>
    <w:unhideWhenUsed/>
    <w:qFormat/>
    <w:uiPriority w:val="0"/>
    <w:pPr>
      <w:widowControl w:val="0"/>
      <w:spacing w:after="120" w:line="480" w:lineRule="exact"/>
      <w:ind w:left="420" w:leftChars="200"/>
    </w:pPr>
    <w:rPr>
      <w:rFonts w:ascii="微软雅黑" w:hAnsi="微软雅黑" w:eastAsia="宋体" w:cs="Times New Roman"/>
      <w:kern w:val="2"/>
      <w:sz w:val="24"/>
      <w:szCs w:val="22"/>
      <w:lang w:val="en-US" w:eastAsia="zh-CN" w:bidi="ar-SA"/>
    </w:rPr>
  </w:style>
  <w:style w:type="paragraph" w:styleId="11">
    <w:name w:val="toc 3"/>
    <w:basedOn w:val="1"/>
    <w:next w:val="1"/>
    <w:qFormat/>
    <w:uiPriority w:val="39"/>
    <w:pPr>
      <w:ind w:left="420"/>
      <w:jc w:val="left"/>
    </w:pPr>
    <w:rPr>
      <w:sz w:val="20"/>
    </w:rPr>
  </w:style>
  <w:style w:type="paragraph" w:styleId="12">
    <w:name w:val="Plain Text"/>
    <w:basedOn w:val="1"/>
    <w:link w:val="33"/>
    <w:qFormat/>
    <w:uiPriority w:val="0"/>
    <w:rPr>
      <w:rFonts w:ascii="宋体" w:hAnsi="Courier New"/>
    </w:rPr>
  </w:style>
  <w:style w:type="paragraph" w:styleId="13">
    <w:name w:val="Balloon Text"/>
    <w:basedOn w:val="1"/>
    <w:link w:val="27"/>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jc w:val="left"/>
    </w:pPr>
    <w:rPr>
      <w:b/>
      <w:bCs/>
      <w:i/>
      <w:iCs/>
      <w:sz w:val="24"/>
      <w:szCs w:val="24"/>
    </w:rPr>
  </w:style>
  <w:style w:type="paragraph" w:styleId="17">
    <w:name w:val="toc 2"/>
    <w:basedOn w:val="1"/>
    <w:next w:val="1"/>
    <w:qFormat/>
    <w:uiPriority w:val="39"/>
    <w:pPr>
      <w:spacing w:before="120"/>
      <w:ind w:left="210"/>
      <w:jc w:val="left"/>
    </w:pPr>
    <w:rPr>
      <w:b/>
      <w:bCs/>
      <w:sz w:val="22"/>
      <w:szCs w:val="22"/>
    </w:rPr>
  </w:style>
  <w:style w:type="paragraph" w:styleId="18">
    <w:name w:val="annotation subject"/>
    <w:basedOn w:val="8"/>
    <w:next w:val="8"/>
    <w:link w:val="29"/>
    <w:qFormat/>
    <w:uiPriority w:val="0"/>
    <w:rPr>
      <w:b/>
      <w:bCs/>
    </w:rPr>
  </w:style>
  <w:style w:type="paragraph" w:styleId="19">
    <w:name w:val="Body Text First Indent"/>
    <w:basedOn w:val="1"/>
    <w:next w:val="9"/>
    <w:qFormat/>
    <w:uiPriority w:val="99"/>
    <w:pPr>
      <w:spacing w:after="120"/>
      <w:ind w:firstLine="420"/>
    </w:pPr>
    <w:rPr>
      <w:rFonts w:ascii="宋体" w:hAnsi="Arial"/>
      <w:kern w:val="2"/>
      <w:sz w:val="28"/>
      <w:szCs w:val="28"/>
    </w:rPr>
  </w:style>
  <w:style w:type="paragraph" w:styleId="20">
    <w:name w:val="Body Text First Indent 2"/>
    <w:basedOn w:val="10"/>
    <w:qFormat/>
    <w:uiPriority w:val="0"/>
    <w:pPr>
      <w:spacing w:after="120"/>
      <w:ind w:left="420" w:leftChars="200" w:firstLine="420"/>
    </w:pPr>
    <w:rPr>
      <w:rFonts w:hAnsi="Calibri"/>
      <w:sz w:val="21"/>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qFormat/>
    <w:uiPriority w:val="0"/>
  </w:style>
  <w:style w:type="character" w:styleId="25">
    <w:name w:val="annotation reference"/>
    <w:basedOn w:val="23"/>
    <w:qFormat/>
    <w:uiPriority w:val="0"/>
    <w:rPr>
      <w:sz w:val="21"/>
      <w:szCs w:val="21"/>
    </w:rPr>
  </w:style>
  <w:style w:type="paragraph" w:customStyle="1" w:styleId="26">
    <w:name w:val="Default"/>
    <w:qFormat/>
    <w:uiPriority w:val="0"/>
    <w:pPr>
      <w:widowControl w:val="0"/>
      <w:autoSpaceDE w:val="0"/>
      <w:autoSpaceDN w:val="0"/>
      <w:adjustRightInd w:val="0"/>
      <w:spacing w:line="500" w:lineRule="exact"/>
    </w:pPr>
    <w:rPr>
      <w:rFonts w:ascii="微软雅黑" w:hAnsi="微软雅黑" w:eastAsia="微软雅黑" w:cs="Times New Roman"/>
      <w:b/>
      <w:kern w:val="2"/>
      <w:sz w:val="24"/>
      <w:szCs w:val="21"/>
      <w:lang w:val="en-US" w:eastAsia="zh-CN" w:bidi="ar-SA"/>
    </w:rPr>
  </w:style>
  <w:style w:type="character" w:customStyle="1" w:styleId="27">
    <w:name w:val="批注框文本 Char"/>
    <w:basedOn w:val="23"/>
    <w:link w:val="13"/>
    <w:qFormat/>
    <w:uiPriority w:val="0"/>
    <w:rPr>
      <w:kern w:val="2"/>
      <w:sz w:val="18"/>
      <w:szCs w:val="18"/>
    </w:rPr>
  </w:style>
  <w:style w:type="character" w:customStyle="1" w:styleId="28">
    <w:name w:val="批注文字 Char"/>
    <w:basedOn w:val="23"/>
    <w:link w:val="8"/>
    <w:qFormat/>
    <w:uiPriority w:val="0"/>
    <w:rPr>
      <w:kern w:val="2"/>
      <w:sz w:val="21"/>
    </w:rPr>
  </w:style>
  <w:style w:type="character" w:customStyle="1" w:styleId="29">
    <w:name w:val="批注主题 Char"/>
    <w:basedOn w:val="28"/>
    <w:link w:val="18"/>
    <w:qFormat/>
    <w:uiPriority w:val="0"/>
    <w:rPr>
      <w:b/>
      <w:bCs/>
      <w:kern w:val="2"/>
      <w:sz w:val="21"/>
    </w:rPr>
  </w:style>
  <w:style w:type="paragraph" w:customStyle="1" w:styleId="30">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1">
    <w:name w:val="标题 2 Char"/>
    <w:basedOn w:val="23"/>
    <w:link w:val="3"/>
    <w:qFormat/>
    <w:uiPriority w:val="0"/>
    <w:rPr>
      <w:rFonts w:ascii="Arial" w:hAnsi="Arial" w:eastAsia="黑体"/>
      <w:b/>
      <w:bCs/>
      <w:kern w:val="2"/>
      <w:sz w:val="32"/>
      <w:szCs w:val="32"/>
    </w:rPr>
  </w:style>
  <w:style w:type="character" w:customStyle="1" w:styleId="32">
    <w:name w:val="标题 3 Char"/>
    <w:basedOn w:val="23"/>
    <w:link w:val="4"/>
    <w:qFormat/>
    <w:uiPriority w:val="0"/>
    <w:rPr>
      <w:rFonts w:ascii="宋体"/>
      <w:b/>
      <w:bCs/>
      <w:kern w:val="2"/>
      <w:sz w:val="32"/>
      <w:szCs w:val="32"/>
    </w:rPr>
  </w:style>
  <w:style w:type="character" w:customStyle="1" w:styleId="33">
    <w:name w:val="纯文本 Char"/>
    <w:basedOn w:val="23"/>
    <w:link w:val="12"/>
    <w:qFormat/>
    <w:uiPriority w:val="0"/>
    <w:rPr>
      <w:rFonts w:ascii="宋体" w:hAnsi="Courier New"/>
      <w:kern w:val="2"/>
      <w:sz w:val="21"/>
    </w:rPr>
  </w:style>
  <w:style w:type="character" w:customStyle="1" w:styleId="34">
    <w:name w:val="页眉 Char"/>
    <w:basedOn w:val="23"/>
    <w:link w:val="15"/>
    <w:qFormat/>
    <w:uiPriority w:val="0"/>
    <w:rPr>
      <w:kern w:val="2"/>
      <w:sz w:val="18"/>
      <w:szCs w:val="18"/>
    </w:rPr>
  </w:style>
  <w:style w:type="character" w:customStyle="1" w:styleId="35">
    <w:name w:val="font21"/>
    <w:basedOn w:val="23"/>
    <w:qFormat/>
    <w:uiPriority w:val="0"/>
    <w:rPr>
      <w:rFonts w:hint="eastAsia" w:ascii="黑体" w:hAnsi="宋体" w:eastAsia="黑体" w:cs="黑体"/>
      <w:b/>
      <w:bCs/>
      <w:color w:val="000000"/>
      <w:sz w:val="24"/>
      <w:szCs w:val="24"/>
      <w:u w:val="none"/>
    </w:rPr>
  </w:style>
  <w:style w:type="character" w:customStyle="1" w:styleId="36">
    <w:name w:val="font121"/>
    <w:basedOn w:val="23"/>
    <w:qFormat/>
    <w:uiPriority w:val="0"/>
    <w:rPr>
      <w:rFonts w:hint="eastAsia" w:ascii="黑体" w:hAnsi="宋体" w:eastAsia="黑体" w:cs="黑体"/>
      <w:b/>
      <w:bCs/>
      <w:color w:val="000000"/>
      <w:sz w:val="24"/>
      <w:szCs w:val="24"/>
      <w:u w:val="single"/>
    </w:rPr>
  </w:style>
  <w:style w:type="character" w:customStyle="1" w:styleId="37">
    <w:name w:val="font101"/>
    <w:basedOn w:val="23"/>
    <w:qFormat/>
    <w:uiPriority w:val="0"/>
    <w:rPr>
      <w:rFonts w:ascii="Calibri" w:hAnsi="Calibri" w:cs="Calibri"/>
      <w:color w:val="000000"/>
      <w:sz w:val="20"/>
      <w:szCs w:val="20"/>
      <w:u w:val="none"/>
    </w:rPr>
  </w:style>
  <w:style w:type="character" w:customStyle="1" w:styleId="38">
    <w:name w:val="font51"/>
    <w:basedOn w:val="23"/>
    <w:qFormat/>
    <w:uiPriority w:val="0"/>
    <w:rPr>
      <w:rFonts w:hint="eastAsia" w:ascii="宋体" w:hAnsi="宋体" w:eastAsia="宋体" w:cs="宋体"/>
      <w:color w:val="000000"/>
      <w:sz w:val="20"/>
      <w:szCs w:val="20"/>
      <w:u w:val="none"/>
    </w:rPr>
  </w:style>
  <w:style w:type="character" w:customStyle="1" w:styleId="39">
    <w:name w:val="font71"/>
    <w:basedOn w:val="23"/>
    <w:qFormat/>
    <w:uiPriority w:val="0"/>
    <w:rPr>
      <w:rFonts w:hint="eastAsia" w:ascii="宋体" w:hAnsi="宋体" w:eastAsia="宋体" w:cs="宋体"/>
      <w:color w:val="000000"/>
      <w:sz w:val="20"/>
      <w:szCs w:val="20"/>
      <w:u w:val="none"/>
    </w:rPr>
  </w:style>
  <w:style w:type="character" w:customStyle="1" w:styleId="40">
    <w:name w:val="font91"/>
    <w:basedOn w:val="23"/>
    <w:qFormat/>
    <w:uiPriority w:val="0"/>
    <w:rPr>
      <w:rFonts w:ascii="Calibri" w:hAnsi="Calibri" w:cs="Calibri"/>
      <w:color w:val="000000"/>
      <w:sz w:val="20"/>
      <w:szCs w:val="20"/>
      <w:u w:val="none"/>
    </w:rPr>
  </w:style>
  <w:style w:type="character" w:customStyle="1" w:styleId="41">
    <w:name w:val="font41"/>
    <w:basedOn w:val="23"/>
    <w:qFormat/>
    <w:uiPriority w:val="0"/>
    <w:rPr>
      <w:rFonts w:hint="eastAsia" w:ascii="宋体" w:hAnsi="宋体" w:eastAsia="宋体" w:cs="宋体"/>
      <w:color w:val="000000"/>
      <w:sz w:val="20"/>
      <w:szCs w:val="20"/>
      <w:u w:val="none"/>
    </w:rPr>
  </w:style>
  <w:style w:type="character" w:customStyle="1" w:styleId="42">
    <w:name w:val="font61"/>
    <w:basedOn w:val="23"/>
    <w:qFormat/>
    <w:uiPriority w:val="0"/>
    <w:rPr>
      <w:rFonts w:hint="eastAsia" w:ascii="宋体" w:hAnsi="宋体" w:eastAsia="宋体" w:cs="宋体"/>
      <w:color w:val="000000"/>
      <w:sz w:val="20"/>
      <w:szCs w:val="20"/>
      <w:u w:val="none"/>
    </w:rPr>
  </w:style>
  <w:style w:type="character" w:customStyle="1" w:styleId="43">
    <w:name w:val="font14"/>
    <w:basedOn w:val="23"/>
    <w:qFormat/>
    <w:uiPriority w:val="0"/>
    <w:rPr>
      <w:rFonts w:hint="eastAsia" w:ascii="黑体" w:hAnsi="宋体" w:eastAsia="黑体" w:cs="黑体"/>
      <w:b/>
      <w:bCs/>
      <w:color w:val="000000"/>
      <w:sz w:val="24"/>
      <w:szCs w:val="24"/>
      <w:u w:val="none"/>
    </w:rPr>
  </w:style>
  <w:style w:type="character" w:customStyle="1" w:styleId="44">
    <w:name w:val="font142"/>
    <w:basedOn w:val="23"/>
    <w:qFormat/>
    <w:uiPriority w:val="0"/>
    <w:rPr>
      <w:rFonts w:hint="eastAsia" w:ascii="黑体" w:hAnsi="宋体" w:eastAsia="黑体" w:cs="黑体"/>
      <w:b/>
      <w:bCs/>
      <w:color w:val="000000"/>
      <w:sz w:val="24"/>
      <w:szCs w:val="24"/>
      <w:u w:val="single"/>
    </w:rPr>
  </w:style>
  <w:style w:type="paragraph" w:customStyle="1" w:styleId="45">
    <w:name w:val="Normal Indent"/>
    <w:basedOn w:val="1"/>
    <w:qFormat/>
    <w:uiPriority w:val="0"/>
    <w:pPr>
      <w:widowControl/>
      <w:ind w:firstLine="420" w:firstLineChars="200"/>
    </w:pPr>
  </w:style>
  <w:style w:type="paragraph" w:customStyle="1" w:styleId="46">
    <w:name w:val="正文1"/>
    <w:autoRedefine/>
    <w:qFormat/>
    <w:uiPriority w:val="0"/>
    <w:pPr>
      <w:widowControl w:val="0"/>
      <w:adjustRightInd w:val="0"/>
      <w:spacing w:before="120" w:line="480" w:lineRule="atLeast"/>
      <w:jc w:val="left"/>
      <w:textAlignment w:val="baseline"/>
    </w:pPr>
    <w:rPr>
      <w:rFonts w:ascii="宋体" w:hAnsi="Times New Roman" w:eastAsia="宋体" w:cs="Times New Roman"/>
      <w:b/>
      <w:bCs/>
      <w:iCs/>
      <w:kern w:val="0"/>
      <w:sz w:val="28"/>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theme" Target="theme/theme1.xml"/><Relationship Id="rId33" Type="http://schemas.openxmlformats.org/officeDocument/2006/relationships/header" Target="header18.xml"/><Relationship Id="rId32" Type="http://schemas.openxmlformats.org/officeDocument/2006/relationships/header" Target="header17.xml"/><Relationship Id="rId31" Type="http://schemas.openxmlformats.org/officeDocument/2006/relationships/footer" Target="footer13.xml"/><Relationship Id="rId30" Type="http://schemas.openxmlformats.org/officeDocument/2006/relationships/header" Target="header16.xml"/><Relationship Id="rId3" Type="http://schemas.openxmlformats.org/officeDocument/2006/relationships/header" Target="header1.xml"/><Relationship Id="rId29" Type="http://schemas.openxmlformats.org/officeDocument/2006/relationships/header" Target="header15.xml"/><Relationship Id="rId28" Type="http://schemas.openxmlformats.org/officeDocument/2006/relationships/footer" Target="footer12.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footer" Target="footer11.xml"/><Relationship Id="rId24" Type="http://schemas.openxmlformats.org/officeDocument/2006/relationships/header" Target="header12.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12614</Words>
  <Characters>13474</Characters>
  <Lines>178</Lines>
  <Paragraphs>50</Paragraphs>
  <TotalTime>295</TotalTime>
  <ScaleCrop>false</ScaleCrop>
  <LinksUpToDate>false</LinksUpToDate>
  <CharactersWithSpaces>13691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2024-05-29T15:49:00Z</dcterms:created>
  <dc:creator>cc</dc:creator>
  <cp:lastModifiedBy>Administrator</cp:lastModifiedBy>
  <cp:lastPrinted>2026-03-03T01:35:00Z</cp:lastPrinted>
  <dcterms:modified xsi:type="dcterms:W3CDTF">2026-03-16T14:02:59Z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0A7A2DC3FC06490AA472325C2E343C85_13</vt:lpwstr>
  </property>
  <property fmtid="{D5CDD505-2E9C-101B-9397-08002B2CF9AE}" pid="4" name="KSOTemplateDocerSaveRecord">
    <vt:lpwstr>eyJoZGlkIjoiZWE1YjdmMjAxMjVlNWQ5MzhjMzZlMjU2NWMzODQ3NjQiLCJ1c2VySWQiOiIxMjM5NjA3NTM5In0=</vt:lpwstr>
  </property>
</Properties>
</file>